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comments.xml" ContentType="application/vnd.openxmlformats-officedocument.wordprocessingml.comment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31909" w:rsidRDefault="00877549" w:rsidP="00877549">
      <w:pPr>
        <w:jc w:val="right"/>
        <w:rPr>
          <w:lang w:val="en-GB"/>
        </w:rPr>
      </w:pPr>
      <w:proofErr w:type="gramStart"/>
      <w:r>
        <w:rPr>
          <w:lang w:val="en-GB"/>
        </w:rPr>
        <w:t>FM44(</w:t>
      </w:r>
      <w:proofErr w:type="gramEnd"/>
      <w:r>
        <w:rPr>
          <w:lang w:val="en-GB"/>
        </w:rPr>
        <w:t>12)018_Annex 6</w:t>
      </w:r>
    </w:p>
    <w:p w:rsidR="00877549" w:rsidRDefault="00877549" w:rsidP="00A10264">
      <w:pPr>
        <w:jc w:val="center"/>
        <w:rPr>
          <w:lang w:val="en-GB"/>
        </w:rPr>
      </w:pPr>
    </w:p>
    <w:p w:rsidR="00877549" w:rsidRPr="00877549" w:rsidRDefault="00877549" w:rsidP="00A10264">
      <w:pPr>
        <w:jc w:val="center"/>
        <w:rPr>
          <w:lang w:val="en-GB"/>
        </w:rPr>
      </w:pPr>
    </w:p>
    <w:p w:rsidR="00631909" w:rsidRPr="00877549" w:rsidRDefault="00631909" w:rsidP="00A10264">
      <w:pPr>
        <w:rPr>
          <w:lang w:val="en-GB"/>
        </w:rPr>
      </w:pPr>
    </w:p>
    <w:p w:rsidR="00631909" w:rsidRPr="00877549" w:rsidRDefault="00631909" w:rsidP="00A10264">
      <w:pPr>
        <w:rPr>
          <w:lang w:val="en-GB"/>
        </w:rPr>
      </w:pPr>
    </w:p>
    <w:p w:rsidR="00631909" w:rsidRPr="00877549" w:rsidRDefault="0098769E" w:rsidP="00A10264">
      <w:pPr>
        <w:jc w:val="center"/>
        <w:rPr>
          <w:b/>
          <w:lang w:val="en-GB"/>
        </w:rPr>
      </w:pPr>
      <w:r>
        <w:rPr>
          <w:noProof/>
          <w:lang w:val="fr-FR" w:eastAsia="fr-FR"/>
        </w:rPr>
        <mc:AlternateContent>
          <mc:Choice Requires="wpg">
            <w:drawing>
              <wp:anchor distT="0" distB="0" distL="114300" distR="114300" simplePos="0" relativeHeight="251659776" behindDoc="0" locked="0" layoutInCell="1" allowOverlap="1" wp14:anchorId="4340C735" wp14:editId="27271FE9">
                <wp:simplePos x="0" y="0"/>
                <wp:positionH relativeFrom="column">
                  <wp:posOffset>107950</wp:posOffset>
                </wp:positionH>
                <wp:positionV relativeFrom="paragraph">
                  <wp:posOffset>97790</wp:posOffset>
                </wp:positionV>
                <wp:extent cx="1697355" cy="1562100"/>
                <wp:effectExtent l="0" t="19050" r="0" b="0"/>
                <wp:wrapNone/>
                <wp:docPr id="9" name="Group 2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697355" cy="1562100"/>
                          <a:chOff x="1304" y="2744"/>
                          <a:chExt cx="2673" cy="2460"/>
                        </a:xfrm>
                      </wpg:grpSpPr>
                      <wps:wsp>
                        <wps:cNvPr id="10" name="Line 11"/>
                        <wps:cNvCnPr/>
                        <wps:spPr bwMode="auto">
                          <a:xfrm rot="2700000">
                            <a:off x="2138" y="2646"/>
                            <a:ext cx="14" cy="1682"/>
                          </a:xfrm>
                          <a:prstGeom prst="line">
                            <a:avLst/>
                          </a:prstGeom>
                          <a:noFill/>
                          <a:ln w="190500">
                            <a:solidFill>
                              <a:srgbClr val="D2232A"/>
                            </a:solidFill>
                            <a:round/>
                            <a:headEnd/>
                            <a:tailEnd/>
                          </a:ln>
                          <a:extLst>
                            <a:ext uri="{909E8E84-426E-40DD-AFC4-6F175D3DCCD1}">
                              <a14:hiddenFill xmlns:a14="http://schemas.microsoft.com/office/drawing/2010/main">
                                <a:noFill/>
                              </a14:hiddenFill>
                            </a:ext>
                          </a:extLst>
                        </wps:spPr>
                        <wps:bodyPr/>
                      </wps:wsp>
                      <wps:wsp>
                        <wps:cNvPr id="11" name="Line 12"/>
                        <wps:cNvCnPr/>
                        <wps:spPr bwMode="auto">
                          <a:xfrm rot="2700000" flipH="1">
                            <a:off x="1447" y="4478"/>
                            <a:ext cx="1431" cy="0"/>
                          </a:xfrm>
                          <a:prstGeom prst="line">
                            <a:avLst/>
                          </a:prstGeom>
                          <a:noFill/>
                          <a:ln w="190500">
                            <a:solidFill>
                              <a:srgbClr val="D2232A"/>
                            </a:solidFill>
                            <a:round/>
                            <a:headEnd/>
                            <a:tailEnd/>
                          </a:ln>
                          <a:extLst>
                            <a:ext uri="{909E8E84-426E-40DD-AFC4-6F175D3DCCD1}">
                              <a14:hiddenFill xmlns:a14="http://schemas.microsoft.com/office/drawing/2010/main">
                                <a:noFill/>
                              </a14:hiddenFill>
                            </a:ext>
                          </a:extLst>
                        </wps:spPr>
                        <wps:bodyPr/>
                      </wps:wsp>
                      <wps:wsp>
                        <wps:cNvPr id="12" name="Line 13"/>
                        <wps:cNvCnPr/>
                        <wps:spPr bwMode="auto">
                          <a:xfrm rot="2700000" flipH="1">
                            <a:off x="3238" y="3636"/>
                            <a:ext cx="1" cy="1568"/>
                          </a:xfrm>
                          <a:prstGeom prst="line">
                            <a:avLst/>
                          </a:prstGeom>
                          <a:noFill/>
                          <a:ln w="190500">
                            <a:solidFill>
                              <a:srgbClr val="FFFFFF"/>
                            </a:solidFill>
                            <a:round/>
                            <a:headEnd/>
                            <a:tailEnd/>
                          </a:ln>
                          <a:extLst>
                            <a:ext uri="{909E8E84-426E-40DD-AFC4-6F175D3DCCD1}">
                              <a14:hiddenFill xmlns:a14="http://schemas.microsoft.com/office/drawing/2010/main">
                                <a:noFill/>
                              </a14:hiddenFill>
                            </a:ext>
                          </a:extLst>
                        </wps:spPr>
                        <wps:bodyPr/>
                      </wps:wsp>
                      <wps:wsp>
                        <wps:cNvPr id="13" name="Line 14"/>
                        <wps:cNvCnPr/>
                        <wps:spPr bwMode="auto">
                          <a:xfrm rot="2700000" flipH="1">
                            <a:off x="2429" y="3489"/>
                            <a:ext cx="1548" cy="1"/>
                          </a:xfrm>
                          <a:prstGeom prst="line">
                            <a:avLst/>
                          </a:prstGeom>
                          <a:noFill/>
                          <a:ln w="190500">
                            <a:solidFill>
                              <a:srgbClr val="FFFFFF"/>
                            </a:solidFill>
                            <a:round/>
                            <a:headEnd/>
                            <a:tailEnd/>
                          </a:ln>
                          <a:extLst>
                            <a:ext uri="{909E8E84-426E-40DD-AFC4-6F175D3DCCD1}">
                              <a14:hiddenFill xmlns:a14="http://schemas.microsoft.com/office/drawing/2010/main">
                                <a:noFill/>
                              </a14:hiddenFill>
                            </a:ext>
                          </a:extLst>
                        </wps:spPr>
                        <wps:bodyPr/>
                      </wps:wsp>
                      <wps:wsp>
                        <wps:cNvPr id="14" name="Line 15"/>
                        <wps:cNvCnPr/>
                        <wps:spPr bwMode="auto">
                          <a:xfrm>
                            <a:off x="2670" y="2744"/>
                            <a:ext cx="1" cy="2340"/>
                          </a:xfrm>
                          <a:prstGeom prst="line">
                            <a:avLst/>
                          </a:prstGeom>
                          <a:noFill/>
                          <a:ln w="196850">
                            <a:solidFill>
                              <a:srgbClr val="887E6E"/>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Group 24" o:spid="_x0000_s1026" style="position:absolute;margin-left:8.5pt;margin-top:7.7pt;width:133.65pt;height:123pt;z-index:251659776" coordorigin="1304,2744" coordsize="2673,24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">
                <v:line id="Line 11" o:spid="_x0000_s1027" style="position:absolute;rotation:45;visibility:visible;mso-wrap-style:square" from="2138,2646" to="2152,43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oBv8UAAADbAAAADwAAAGRycy9kb3ducmV2LnhtbESPQWvCQBCF74X+h2UK3urGSkMaXaWU&#10;ilZ6qVW8DtkxCWZnw+6q6b/vHAq9zfDevPfNfDm4Tl0pxNazgck4A0VcedtybWD/vXosQMWEbLHz&#10;TAZ+KMJycX83x9L6G3/RdZdqJSEcSzTQpNSXWseqIYdx7Hti0U4+OEyyhlrbgDcJd51+yrJcO2xZ&#10;Ghrs6a2h6ry7OAPr4vM9P1Yv7RZDXhxWl4/jdvpszOhheJ2BSjSkf/Pf9cYKvtDLLzKAXvw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oBv8UAAADbAAAADwAAAAAAAAAA&#10;AAAAAAChAgAAZHJzL2Rvd25yZXYueG1sUEsFBgAAAAAEAAQA+QAAAJMDAAAAAA==&#10;" strokecolor="#d2232a" strokeweight="15pt"/>
                <v:line id="Line 12" o:spid="_x0000_s1028" style="position:absolute;rotation:-45;flip:x;visibility:visible;mso-wrap-style:square" from="1447,4478" to="2878,447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" strokecolor="#d2232a" strokeweight="15pt"/>
                <v:line id="Line 13" o:spid="_x0000_s1029" style="position:absolute;rotation:-45;flip:x;visibility:visible;mso-wrap-style:square" from="3238,3636" to="3239,520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E8hgcMAAADbAAAADwAAAGRycy9kb3ducmV2LnhtbERPTWvCQBC9F/wPywheitnUgpQ0q2hB&#10;aQ9CY4t4HLLTJJidjbtrTP+9WxB6m8f7nHw5mFb05HxjWcFTkoIgLq1uuFLw/bWZvoDwAVlja5kU&#10;/JKH5WL0kGOm7ZUL6vehEjGEfYYK6hC6TEpf1mTQJ7YjjtyPdQZDhK6S2uE1hptWztJ0Lg02HBtq&#10;7OitpvK0vxgFF3dGt31c4+HzsArt8bn46HeFUpPxsHoFEWgI/+K7+13H+TP4+yUeIBc3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xPIYHDAAAA2wAAAA8AAAAAAAAAAAAA&#10;AAAAoQIAAGRycy9kb3ducmV2LnhtbFBLBQYAAAAABAAEAPkAAACRAwAAAAA=&#10;" strokecolor="white" strokeweight="15pt"/>
                <v:line id="Line 14" o:spid="_x0000_s1030" style="position:absolute;rotation:-45;flip:x;visibility:visible;mso-wrap-style:square" from="2429,3489" to="3977,34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wOEGsMAAADbAAAADwAAAGRycy9kb3ducmV2LnhtbERPTWvCQBC9C/0PyxR6EbOxQikxq1ih&#10;pR4KRkU8DtkxCc3OprtrjP++KxR6m8f7nHw5mFb05HxjWcE0SUEQl1Y3XCk47N8nryB8QNbYWiYF&#10;N/KwXDyMcsy0vXJB/S5UIoawz1BBHUKXSenLmgz6xHbEkTtbZzBE6CqpHV5juGnlc5q+SIMNx4Ya&#10;O1rXVH7vLkbBxf2g+xi/4XF7XIX2NCs2/Veh1NPjsJqDCDSEf/Gf+1PH+TO4/xIPkIt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MDhBrDAAAA2wAAAA8AAAAAAAAAAAAA&#10;AAAAoQIAAGRycy9kb3ducmV2LnhtbFBLBQYAAAAABAAEAPkAAACRAwAAAAA=&#10;" strokecolor="white" strokeweight="15pt"/>
                <v:line id="Line 15" o:spid="_x0000_s1031" style="position:absolute;visibility:visible;mso-wrap-style:square" from="2670,2744" to="2671,508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JpL8cEAAADbAAAADwAAAGRycy9kb3ducmV2LnhtbERPTWvCQBC9C/0PyxR6002liE1dJUgD&#10;3rSa0OuQnWZDs7Npdk3iv3cLhd7m8T5ns5tsKwbqfeNYwfMiAUFcOd1wraC45PM1CB+QNbaOScGN&#10;POy2D7MNptqN/EHDOdQihrBPUYEJoUul9JUhi37hOuLIfbneYoiwr6XucYzhtpXLJFlJiw3HBoMd&#10;7Q1V3+erVZBlyWe7L8r8uNTm/VT+4Ou4Xin19DhlbyACTeFf/Oc+6Dj/BX5/iQfI7R0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kmkvxwQAAANsAAAAPAAAAAAAAAAAAAAAA&#10;AKECAABkcnMvZG93bnJldi54bWxQSwUGAAAAAAQABAD5AAAAjwMAAAAA&#10;" strokecolor="#887e6e" strokeweight="15.5pt"/>
              </v:group>
            </w:pict>
          </mc:Fallback>
        </mc:AlternateContent>
      </w:r>
      <w:r>
        <w:rPr>
          <w:noProof/>
          <w:lang w:val="fr-FR" w:eastAsia="fr-FR"/>
        </w:rPr>
        <mc:AlternateContent>
          <mc:Choice Requires="wps">
            <w:drawing>
              <wp:anchor distT="0" distB="0" distL="114300" distR="114300" simplePos="0" relativeHeight="251656704" behindDoc="0" locked="0" layoutInCell="1" allowOverlap="1" wp14:anchorId="22FFF773" wp14:editId="50C4CD65">
                <wp:simplePos x="0" y="0"/>
                <wp:positionH relativeFrom="page">
                  <wp:posOffset>0</wp:posOffset>
                </wp:positionH>
                <wp:positionV relativeFrom="page">
                  <wp:posOffset>1714500</wp:posOffset>
                </wp:positionV>
                <wp:extent cx="7560310" cy="1628140"/>
                <wp:effectExtent l="0" t="0" r="2540" b="0"/>
                <wp:wrapNone/>
                <wp:docPr id="8"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310" cy="1628140"/>
                        </a:xfrm>
                        <a:prstGeom prst="rect">
                          <a:avLst/>
                        </a:prstGeom>
                        <a:solidFill>
                          <a:srgbClr val="887E6E"/>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A3FE8" w:rsidRPr="00080D86" w:rsidRDefault="009A3FE8" w:rsidP="00A10264">
                            <w:pPr>
                              <w:rPr>
                                <w:sz w:val="68"/>
                              </w:rPr>
                            </w:pPr>
                            <w:r w:rsidRPr="00080D86">
                              <w:rPr>
                                <w:color w:val="FFFFFF"/>
                                <w:sz w:val="68"/>
                              </w:rPr>
                              <w:t xml:space="preserve">ECC Report </w:t>
                            </w:r>
                            <w:r>
                              <w:rPr>
                                <w:color w:val="57433E"/>
                                <w:sz w:val="68"/>
                              </w:rPr>
                              <w:t>XXX</w:t>
                            </w:r>
                          </w:p>
                        </w:txbxContent>
                      </wps:txbx>
                      <wps:bodyPr rot="0" vert="horz" wrap="square" lIns="2880000" tIns="54000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9" o:spid="_x0000_s1027" type="#_x0000_t202" style="position:absolute;left:0;text-align:left;margin-left:0;margin-top:135pt;width:595.3pt;height:128.2pt;z-index:2516567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" fillcolor="#887e6e" stroked="f">
                <v:textbox inset="80mm,15mm">
                  <w:txbxContent>
                    <w:p w:rsidR="009A3FE8" w:rsidRPr="00080D86" w:rsidRDefault="009A3FE8" w:rsidP="00A10264">
                      <w:pPr>
                        <w:rPr>
                          <w:sz w:val="68"/>
                        </w:rPr>
                      </w:pPr>
                      <w:r w:rsidRPr="00080D86">
                        <w:rPr>
                          <w:color w:val="FFFFFF"/>
                          <w:sz w:val="68"/>
                        </w:rPr>
                        <w:t xml:space="preserve">ECC Report </w:t>
                      </w:r>
                      <w:r>
                        <w:rPr>
                          <w:color w:val="57433E"/>
                          <w:sz w:val="68"/>
                        </w:rPr>
                        <w:t>XXX</w:t>
                      </w:r>
                    </w:p>
                  </w:txbxContent>
                </v:textbox>
                <w10:wrap anchorx="page" anchory="page"/>
              </v:shape>
            </w:pict>
          </mc:Fallback>
        </mc:AlternateContent>
      </w:r>
    </w:p>
    <w:p w:rsidR="00631909" w:rsidRPr="00877549" w:rsidRDefault="00631909" w:rsidP="00A10264">
      <w:pPr>
        <w:jc w:val="center"/>
        <w:rPr>
          <w:b/>
          <w:lang w:val="en-GB"/>
        </w:rPr>
      </w:pPr>
    </w:p>
    <w:p w:rsidR="00631909" w:rsidRPr="00877549" w:rsidRDefault="00631909" w:rsidP="00A10264">
      <w:pPr>
        <w:jc w:val="center"/>
        <w:rPr>
          <w:b/>
          <w:lang w:val="en-GB"/>
        </w:rPr>
      </w:pPr>
    </w:p>
    <w:p w:rsidR="00631909" w:rsidRPr="00877549" w:rsidRDefault="00631909" w:rsidP="00A10264">
      <w:pPr>
        <w:jc w:val="center"/>
        <w:rPr>
          <w:b/>
          <w:lang w:val="en-GB"/>
        </w:rPr>
      </w:pPr>
    </w:p>
    <w:p w:rsidR="00631909" w:rsidRPr="00877549" w:rsidRDefault="00631909" w:rsidP="00A10264">
      <w:pPr>
        <w:jc w:val="center"/>
        <w:rPr>
          <w:b/>
          <w:lang w:val="en-GB"/>
        </w:rPr>
      </w:pPr>
    </w:p>
    <w:p w:rsidR="00631909" w:rsidRPr="00877549" w:rsidRDefault="00631909" w:rsidP="00A10264">
      <w:pPr>
        <w:jc w:val="center"/>
        <w:rPr>
          <w:b/>
          <w:lang w:val="en-GB"/>
        </w:rPr>
      </w:pPr>
    </w:p>
    <w:p w:rsidR="00631909" w:rsidRPr="00877549" w:rsidRDefault="00631909" w:rsidP="00A10264">
      <w:pPr>
        <w:jc w:val="center"/>
        <w:rPr>
          <w:b/>
          <w:lang w:val="en-GB"/>
        </w:rPr>
      </w:pPr>
    </w:p>
    <w:p w:rsidR="00631909" w:rsidRPr="00877549" w:rsidRDefault="00631909" w:rsidP="00A10264">
      <w:pPr>
        <w:jc w:val="center"/>
        <w:rPr>
          <w:b/>
          <w:lang w:val="en-GB"/>
        </w:rPr>
      </w:pPr>
    </w:p>
    <w:p w:rsidR="00631909" w:rsidRPr="00877549" w:rsidRDefault="00631909" w:rsidP="00A10264">
      <w:pPr>
        <w:jc w:val="center"/>
        <w:rPr>
          <w:b/>
          <w:lang w:val="en-GB"/>
        </w:rPr>
      </w:pPr>
    </w:p>
    <w:p w:rsidR="00631909" w:rsidRPr="00877549" w:rsidRDefault="00631909" w:rsidP="00A10264">
      <w:pPr>
        <w:jc w:val="center"/>
        <w:rPr>
          <w:b/>
          <w:lang w:val="en-GB"/>
        </w:rPr>
      </w:pPr>
    </w:p>
    <w:p w:rsidR="00631909" w:rsidRPr="00877549" w:rsidRDefault="00631909" w:rsidP="00A10264">
      <w:pPr>
        <w:jc w:val="center"/>
        <w:rPr>
          <w:b/>
          <w:lang w:val="en-GB"/>
        </w:rPr>
      </w:pPr>
    </w:p>
    <w:p w:rsidR="00631909" w:rsidRPr="00877549" w:rsidRDefault="00631909" w:rsidP="00A10264">
      <w:pPr>
        <w:rPr>
          <w:b/>
          <w:lang w:val="en-GB"/>
        </w:rPr>
      </w:pPr>
    </w:p>
    <w:p w:rsidR="00631909" w:rsidRPr="00877549" w:rsidRDefault="00631909" w:rsidP="00A10264">
      <w:pPr>
        <w:jc w:val="center"/>
        <w:rPr>
          <w:b/>
          <w:lang w:val="en-GB"/>
        </w:rPr>
      </w:pPr>
    </w:p>
    <w:p w:rsidR="00631909" w:rsidRPr="00877549" w:rsidRDefault="00024962" w:rsidP="005C7337">
      <w:pPr>
        <w:pStyle w:val="Reporttitledescription"/>
        <w:rPr>
          <w:lang w:val="en-GB"/>
        </w:rPr>
      </w:pPr>
      <w:r w:rsidRPr="00877549">
        <w:rPr>
          <w:lang w:val="en-GB"/>
        </w:rPr>
        <w:t xml:space="preserve">Draft Report on the use of </w:t>
      </w:r>
      <w:r w:rsidRPr="00877549">
        <w:rPr>
          <w:lang w:val="en-GB"/>
        </w:rPr>
        <w:t>e</w:t>
      </w:r>
      <w:r w:rsidRPr="00877549">
        <w:rPr>
          <w:lang w:val="en-GB"/>
        </w:rPr>
        <w:t xml:space="preserve">arth stations on mobile platforms operating with GSO </w:t>
      </w:r>
      <w:r w:rsidRPr="00877549">
        <w:rPr>
          <w:lang w:val="en-GB"/>
        </w:rPr>
        <w:t xml:space="preserve">satellite </w:t>
      </w:r>
      <w:r w:rsidRPr="00877549">
        <w:rPr>
          <w:lang w:val="en-GB"/>
        </w:rPr>
        <w:t xml:space="preserve">networks in the frequency bands 17.3-20.2 </w:t>
      </w:r>
      <w:r w:rsidRPr="00877549">
        <w:rPr>
          <w:lang w:val="en-GB"/>
        </w:rPr>
        <w:t xml:space="preserve">GHz </w:t>
      </w:r>
      <w:r w:rsidRPr="00877549">
        <w:rPr>
          <w:lang w:val="en-GB"/>
        </w:rPr>
        <w:t>and 27.5 – 30.0 GHz</w:t>
      </w:r>
      <w:r w:rsidRPr="00877549">
        <w:rPr>
          <w:lang w:val="en-GB"/>
        </w:rPr>
        <w:tab/>
      </w:r>
      <w:r w:rsidRPr="00877549">
        <w:rPr>
          <w:lang w:val="en-GB"/>
        </w:rPr>
        <w:tab/>
      </w:r>
    </w:p>
    <w:bookmarkStart w:id="0" w:name="Text8"/>
    <w:p w:rsidR="00631909" w:rsidRPr="00877549" w:rsidRDefault="00024962" w:rsidP="00A10264">
      <w:pPr>
        <w:pStyle w:val="Reporttitledescription"/>
        <w:rPr>
          <w:b/>
          <w:sz w:val="18"/>
          <w:lang w:val="en-GB"/>
        </w:rPr>
      </w:pPr>
      <w:r w:rsidRPr="00877549">
        <w:rPr>
          <w:b/>
          <w:sz w:val="18"/>
          <w:lang w:val="en-GB"/>
        </w:rPr>
        <w:fldChar w:fldCharType="begin">
          <w:ffData>
            <w:name w:val="Text8"/>
            <w:enabled/>
            <w:calcOnExit w:val="0"/>
            <w:textInput>
              <w:default w:val="Month Year (Arial 9pt bold)"/>
            </w:textInput>
          </w:ffData>
        </w:fldChar>
      </w:r>
      <w:r w:rsidRPr="00877549">
        <w:rPr>
          <w:b/>
          <w:sz w:val="18"/>
          <w:lang w:val="en-GB"/>
        </w:rPr>
        <w:instrText xml:space="preserve"> FORMTEXT </w:instrText>
      </w:r>
      <w:r w:rsidRPr="00877549">
        <w:rPr>
          <w:b/>
          <w:sz w:val="18"/>
          <w:lang w:val="en-GB"/>
        </w:rPr>
      </w:r>
      <w:r w:rsidRPr="00877549">
        <w:rPr>
          <w:b/>
          <w:sz w:val="18"/>
          <w:lang w:val="en-GB"/>
        </w:rPr>
        <w:fldChar w:fldCharType="separate"/>
      </w:r>
      <w:r w:rsidRPr="00877549">
        <w:rPr>
          <w:b/>
          <w:noProof/>
          <w:sz w:val="18"/>
          <w:lang w:val="en-GB"/>
        </w:rPr>
        <w:t>Month Year (Arial 9pt bold)</w:t>
      </w:r>
      <w:r w:rsidRPr="00877549">
        <w:rPr>
          <w:b/>
          <w:sz w:val="18"/>
          <w:lang w:val="en-GB"/>
        </w:rPr>
        <w:fldChar w:fldCharType="end"/>
      </w:r>
      <w:bookmarkEnd w:id="0"/>
      <w:r w:rsidRPr="00877549">
        <w:rPr>
          <w:b/>
          <w:sz w:val="18"/>
          <w:lang w:val="en-GB"/>
        </w:rPr>
        <w:tab/>
      </w:r>
      <w:r w:rsidRPr="00877549">
        <w:rPr>
          <w:b/>
          <w:sz w:val="18"/>
          <w:lang w:val="en-GB"/>
        </w:rPr>
        <w:tab/>
      </w:r>
      <w:r w:rsidRPr="00877549">
        <w:rPr>
          <w:b/>
          <w:sz w:val="18"/>
          <w:lang w:val="en-GB"/>
        </w:rPr>
        <w:tab/>
      </w:r>
      <w:r w:rsidRPr="00877549">
        <w:rPr>
          <w:b/>
          <w:sz w:val="18"/>
          <w:lang w:val="en-GB"/>
        </w:rPr>
        <w:tab/>
      </w:r>
      <w:r w:rsidRPr="00877549">
        <w:rPr>
          <w:b/>
          <w:sz w:val="18"/>
          <w:lang w:val="en-GB"/>
        </w:rPr>
        <w:tab/>
      </w:r>
      <w:r w:rsidRPr="00877549">
        <w:rPr>
          <w:b/>
          <w:sz w:val="18"/>
          <w:lang w:val="en-GB"/>
        </w:rPr>
        <w:tab/>
      </w:r>
    </w:p>
    <w:p w:rsidR="00631909" w:rsidRPr="00877549" w:rsidRDefault="0098769E" w:rsidP="00A10264">
      <w:pPr>
        <w:pStyle w:val="Lastupdated"/>
        <w:rPr>
          <w:lang w:val="en-GB"/>
        </w:rPr>
      </w:pPr>
      <w:r>
        <w:rPr>
          <w:noProof/>
          <w:lang w:val="fr-FR" w:eastAsia="fr-FR"/>
        </w:rPr>
        <mc:AlternateContent>
          <mc:Choice Requires="wps">
            <w:drawing>
              <wp:anchor distT="0" distB="0" distL="114300" distR="114300" simplePos="0" relativeHeight="251655680" behindDoc="0" locked="0" layoutInCell="1" allowOverlap="1" wp14:anchorId="290874A2" wp14:editId="446F35A1">
                <wp:simplePos x="0" y="0"/>
                <wp:positionH relativeFrom="page">
                  <wp:posOffset>3810</wp:posOffset>
                </wp:positionH>
                <wp:positionV relativeFrom="page">
                  <wp:posOffset>9803765</wp:posOffset>
                </wp:positionV>
                <wp:extent cx="7560310" cy="179705"/>
                <wp:effectExtent l="0" t="0" r="2540" b="0"/>
                <wp:wrapNone/>
                <wp:docPr id="7"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560310" cy="179705"/>
                        </a:xfrm>
                        <a:prstGeom prst="rect">
                          <a:avLst/>
                        </a:prstGeom>
                        <a:solidFill>
                          <a:srgbClr val="887E6E"/>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54000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8" o:spid="_x0000_s1026" style="position:absolute;margin-left:.3pt;margin-top:771.95pt;width:595.3pt;height:14.15pt;z-index:25165568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" fillcolor="#887e6e" stroked="f">
                <v:textbox inset=",15mm"/>
                <w10:wrap anchorx="page" anchory="page"/>
              </v:rect>
            </w:pict>
          </mc:Fallback>
        </mc:AlternateContent>
      </w:r>
      <w:bookmarkStart w:id="1" w:name="Text3"/>
      <w:r w:rsidR="00024962" w:rsidRPr="00877549">
        <w:rPr>
          <w:lang w:val="en-GB"/>
        </w:rPr>
        <w:fldChar w:fldCharType="begin">
          <w:ffData>
            <w:name w:val="Text3"/>
            <w:enabled/>
            <w:calcOnExit w:val="0"/>
            <w:textInput>
              <w:default w:val="(last updated: date) (Arial 9pt) "/>
            </w:textInput>
          </w:ffData>
        </w:fldChar>
      </w:r>
      <w:r w:rsidR="00024962" w:rsidRPr="00877549">
        <w:rPr>
          <w:lang w:val="en-GB"/>
        </w:rPr>
        <w:instrText xml:space="preserve"> FORMTEXT </w:instrText>
      </w:r>
      <w:r w:rsidR="00024962" w:rsidRPr="00877549">
        <w:rPr>
          <w:lang w:val="en-GB"/>
        </w:rPr>
      </w:r>
      <w:r w:rsidR="00024962" w:rsidRPr="00877549">
        <w:rPr>
          <w:lang w:val="en-GB"/>
        </w:rPr>
        <w:fldChar w:fldCharType="separate"/>
      </w:r>
      <w:r w:rsidR="00024962" w:rsidRPr="00877549">
        <w:rPr>
          <w:noProof/>
          <w:lang w:val="en-GB"/>
        </w:rPr>
        <w:t xml:space="preserve">(last updated: date) (Arial 9pt) </w:t>
      </w:r>
      <w:r w:rsidR="00024962" w:rsidRPr="00877549">
        <w:rPr>
          <w:lang w:val="en-GB"/>
        </w:rPr>
        <w:fldChar w:fldCharType="end"/>
      </w:r>
      <w:bookmarkEnd w:id="1"/>
    </w:p>
    <w:p w:rsidR="00631909" w:rsidRPr="00207DBD" w:rsidRDefault="00631909">
      <w:pPr>
        <w:rPr>
          <w:lang w:val="en-GB"/>
        </w:rPr>
      </w:pPr>
    </w:p>
    <w:p w:rsidR="00631909" w:rsidRPr="00877549" w:rsidRDefault="00631909" w:rsidP="00B96E99">
      <w:pPr>
        <w:tabs>
          <w:tab w:val="left" w:pos="0"/>
          <w:tab w:val="left" w:pos="1296"/>
          <w:tab w:val="left" w:pos="2592"/>
          <w:tab w:val="left" w:pos="3888"/>
          <w:tab w:val="left" w:pos="5184"/>
          <w:tab w:val="left" w:pos="6480"/>
          <w:tab w:val="left" w:pos="7776"/>
          <w:tab w:val="left" w:pos="9072"/>
          <w:tab w:val="left" w:pos="10368"/>
          <w:tab w:val="left" w:pos="11664"/>
          <w:tab w:val="left" w:pos="12960"/>
          <w:tab w:val="left" w:pos="14256"/>
          <w:tab w:val="left" w:pos="15552"/>
          <w:tab w:val="left" w:pos="16848"/>
          <w:tab w:val="left" w:pos="18144"/>
          <w:tab w:val="left" w:pos="19440"/>
          <w:tab w:val="left" w:pos="20736"/>
          <w:tab w:val="left" w:pos="22032"/>
          <w:tab w:val="left" w:pos="23328"/>
          <w:tab w:val="left" w:pos="24624"/>
          <w:tab w:val="left" w:pos="25920"/>
          <w:tab w:val="left" w:pos="27216"/>
          <w:tab w:val="left" w:pos="28512"/>
          <w:tab w:val="left" w:pos="29808"/>
          <w:tab w:val="left" w:pos="30384"/>
        </w:tabs>
        <w:suppressAutoHyphens/>
        <w:jc w:val="center"/>
        <w:rPr>
          <w:rFonts w:cs="Arial"/>
          <w:i/>
          <w:lang w:val="en-GB"/>
        </w:rPr>
      </w:pPr>
    </w:p>
    <w:p w:rsidR="00631909" w:rsidRPr="00877549" w:rsidRDefault="00631909" w:rsidP="00B96E99">
      <w:pPr>
        <w:tabs>
          <w:tab w:val="left" w:pos="0"/>
          <w:tab w:val="left" w:pos="1296"/>
          <w:tab w:val="left" w:pos="2592"/>
          <w:tab w:val="left" w:pos="3888"/>
          <w:tab w:val="left" w:pos="5184"/>
          <w:tab w:val="left" w:pos="6480"/>
          <w:tab w:val="left" w:pos="7776"/>
          <w:tab w:val="left" w:pos="9072"/>
          <w:tab w:val="left" w:pos="10368"/>
          <w:tab w:val="left" w:pos="11664"/>
          <w:tab w:val="left" w:pos="12960"/>
          <w:tab w:val="left" w:pos="14256"/>
          <w:tab w:val="left" w:pos="15552"/>
          <w:tab w:val="left" w:pos="16848"/>
          <w:tab w:val="left" w:pos="18144"/>
          <w:tab w:val="left" w:pos="19440"/>
          <w:tab w:val="left" w:pos="20736"/>
          <w:tab w:val="left" w:pos="22032"/>
          <w:tab w:val="left" w:pos="23328"/>
          <w:tab w:val="left" w:pos="24624"/>
          <w:tab w:val="left" w:pos="25920"/>
          <w:tab w:val="left" w:pos="27216"/>
          <w:tab w:val="left" w:pos="28512"/>
          <w:tab w:val="left" w:pos="29808"/>
          <w:tab w:val="left" w:pos="30384"/>
        </w:tabs>
        <w:suppressAutoHyphens/>
        <w:jc w:val="center"/>
        <w:rPr>
          <w:rFonts w:cs="Arial"/>
          <w:i/>
          <w:lang w:val="en-GB"/>
        </w:rPr>
      </w:pPr>
    </w:p>
    <w:p w:rsidR="00631909" w:rsidRPr="00877549" w:rsidRDefault="00631909">
      <w:pPr>
        <w:rPr>
          <w:lang w:val="en-GB"/>
        </w:rPr>
        <w:sectPr w:rsidR="00631909" w:rsidRPr="00877549">
          <w:headerReference w:type="even" r:id="rId9"/>
          <w:headerReference w:type="default" r:id="rId10"/>
          <w:headerReference w:type="first" r:id="rId11"/>
          <w:pgSz w:w="11907" w:h="16840" w:code="9"/>
          <w:pgMar w:top="1440" w:right="1134" w:bottom="1440" w:left="1134" w:header="709" w:footer="709" w:gutter="0"/>
          <w:cols w:space="708"/>
          <w:titlePg/>
          <w:docGrid w:linePitch="360"/>
        </w:sectPr>
      </w:pPr>
    </w:p>
    <w:p w:rsidR="00631909" w:rsidRPr="00207DBD" w:rsidRDefault="00F8579A" w:rsidP="00B75A92">
      <w:pPr>
        <w:pStyle w:val="Titre1"/>
      </w:pPr>
      <w:bookmarkStart w:id="2" w:name="_Toc304823046"/>
      <w:bookmarkStart w:id="3" w:name="_Toc302118907"/>
      <w:bookmarkStart w:id="4" w:name="_Toc305681982"/>
      <w:bookmarkStart w:id="5" w:name="_Toc183171024"/>
      <w:r>
        <w:lastRenderedPageBreak/>
        <w:t>Executive summary</w:t>
      </w:r>
      <w:bookmarkEnd w:id="2"/>
      <w:bookmarkEnd w:id="3"/>
      <w:bookmarkEnd w:id="4"/>
      <w:bookmarkEnd w:id="5"/>
    </w:p>
    <w:p w:rsidR="00104CF2" w:rsidRDefault="00AB617C" w:rsidP="00877549">
      <w:pPr>
        <w:jc w:val="both"/>
        <w:rPr>
          <w:lang w:val="en-GB"/>
        </w:rPr>
      </w:pPr>
      <w:r>
        <w:rPr>
          <w:lang w:val="en-GB"/>
        </w:rPr>
        <w:t xml:space="preserve">Earth stations on mobile platforms (ESOMPs) are planned to be operated in Ka-band FSS networks.  This report examines the regulatory and technical issues surrounding such use with reference to similar developments in the C-band and Ku-band where mobile earth </w:t>
      </w:r>
      <w:r w:rsidR="00024962">
        <w:rPr>
          <w:lang w:val="en-GB"/>
        </w:rPr>
        <w:t>stations have operated in FSS networks for many years, under certain technical and</w:t>
      </w:r>
      <w:r>
        <w:rPr>
          <w:lang w:val="en-GB"/>
        </w:rPr>
        <w:t xml:space="preserve"> regulatory conditions.</w:t>
      </w:r>
    </w:p>
    <w:p w:rsidR="00104CF2" w:rsidRDefault="00104CF2" w:rsidP="00877549">
      <w:pPr>
        <w:jc w:val="both"/>
        <w:rPr>
          <w:lang w:val="en-GB"/>
        </w:rPr>
      </w:pPr>
    </w:p>
    <w:p w:rsidR="00104CF2" w:rsidRDefault="00AB617C" w:rsidP="00877549">
      <w:pPr>
        <w:jc w:val="both"/>
        <w:rPr>
          <w:lang w:val="en-GB"/>
        </w:rPr>
      </w:pPr>
      <w:r>
        <w:rPr>
          <w:lang w:val="en-GB"/>
        </w:rPr>
        <w:t>With the technical conditions recommended in this Report, ESOMPs may be treated in a similar fashion to uncoordinated FSS earth stations. This report recommends that ESOMPs should be authorised in the Ka-band frequencies already identified by CEPT administrations for the operation of uncoordinated FSS earth stations with the necessary technical conditions to ensure protection of other satellite and terrestrial services.</w:t>
      </w:r>
    </w:p>
    <w:p w:rsidR="00104CF2" w:rsidRDefault="00104CF2" w:rsidP="00877549">
      <w:pPr>
        <w:jc w:val="both"/>
        <w:rPr>
          <w:lang w:val="en-GB"/>
        </w:rPr>
      </w:pPr>
    </w:p>
    <w:p w:rsidR="00104CF2" w:rsidRDefault="00AB617C" w:rsidP="00877549">
      <w:pPr>
        <w:jc w:val="both"/>
        <w:rPr>
          <w:lang w:val="en-GB"/>
        </w:rPr>
      </w:pPr>
      <w:r>
        <w:rPr>
          <w:lang w:val="en-GB"/>
        </w:rPr>
        <w:t>Th</w:t>
      </w:r>
      <w:r w:rsidR="009A3FE8">
        <w:rPr>
          <w:lang w:val="en-GB"/>
        </w:rPr>
        <w:t>is</w:t>
      </w:r>
      <w:r>
        <w:rPr>
          <w:lang w:val="en-GB"/>
        </w:rPr>
        <w:t xml:space="preserve"> report identifies certain technical, operational and regulatory requirements to be included in an ECC Decision on Ka-band ESOMPs. Such technical requirements are necessary to ensure, among other things, that ESOMP antennas maintain a high pointing accuracy and do not cause interference to other satellite networks. Furthermore, in some cases - for example where one country has authorised a particular band for uncoordinated FSS earth stations and another has authorised the same band for fixed service networks - cross-border interference issues could occur. To address those issues for maritime ESOMPs, a pfd threshold applicable to the coastline of some administrations is necessary. Moreover, to address the same issues for aircraft ESOMPs, a pfd threshold at </w:t>
      </w:r>
      <w:r w:rsidR="00024962">
        <w:rPr>
          <w:lang w:val="en-GB"/>
        </w:rPr>
        <w:t>the ground applicable to the territory of a country operating fixed or mobile</w:t>
      </w:r>
      <w:r>
        <w:rPr>
          <w:lang w:val="en-GB"/>
        </w:rPr>
        <w:t xml:space="preserve"> </w:t>
      </w:r>
      <w:r w:rsidR="00024962">
        <w:rPr>
          <w:lang w:val="en-GB"/>
        </w:rPr>
        <w:t>systems is</w:t>
      </w:r>
      <w:r>
        <w:rPr>
          <w:lang w:val="en-GB"/>
        </w:rPr>
        <w:t xml:space="preserve"> needed.</w:t>
      </w:r>
    </w:p>
    <w:p w:rsidR="00104CF2" w:rsidRDefault="00104CF2" w:rsidP="00877549">
      <w:pPr>
        <w:jc w:val="both"/>
        <w:rPr>
          <w:lang w:val="en-GB"/>
        </w:rPr>
      </w:pPr>
    </w:p>
    <w:p w:rsidR="00104CF2" w:rsidRDefault="00AB617C" w:rsidP="00877549">
      <w:pPr>
        <w:jc w:val="both"/>
        <w:rPr>
          <w:lang w:val="en-GB"/>
        </w:rPr>
      </w:pPr>
      <w:r>
        <w:rPr>
          <w:lang w:val="en-GB"/>
        </w:rPr>
        <w:t>In the downlink FSS bands (17.3-20.2 GHz), ESOMPs would receive the same protection from interference as uncoordinated FSS earth stations.  In some instances, this means ESOMPs operate on a non-protected basis.</w:t>
      </w:r>
    </w:p>
    <w:p w:rsidR="00104CF2" w:rsidRDefault="00104CF2" w:rsidP="00877549">
      <w:pPr>
        <w:jc w:val="both"/>
        <w:rPr>
          <w:lang w:val="en-GB"/>
        </w:rPr>
      </w:pPr>
    </w:p>
    <w:p w:rsidR="00631909" w:rsidRPr="00877549" w:rsidRDefault="00AB617C" w:rsidP="00A10264">
      <w:pPr>
        <w:rPr>
          <w:b/>
          <w:color w:val="FFFFFF"/>
          <w:lang w:val="en-GB"/>
        </w:rPr>
      </w:pPr>
      <w:r>
        <w:rPr>
          <w:lang w:val="en-GB"/>
        </w:rPr>
        <w:t xml:space="preserve">This report recommends that the new ECC Decision on ESOMPs applies the necessary technical and operational requirements for ESOMPs to ensure no harmful interference </w:t>
      </w:r>
      <w:r w:rsidR="00024962" w:rsidRPr="00877549">
        <w:rPr>
          <w:lang w:val="en-GB"/>
        </w:rPr>
        <w:t xml:space="preserve">is caused </w:t>
      </w:r>
      <w:r>
        <w:rPr>
          <w:lang w:val="en-GB"/>
        </w:rPr>
        <w:t>to other services and systems.  The new ECC Decision should require the exemption of individual licensing for ESOMPs to allow the free circulation of ESOMP terminals.</w:t>
      </w:r>
      <w:r w:rsidR="0098769E">
        <w:rPr>
          <w:noProof/>
          <w:lang w:val="fr-FR" w:eastAsia="fr-FR"/>
        </w:rPr>
        <mc:AlternateContent>
          <mc:Choice Requires="wps">
            <w:drawing>
              <wp:anchor distT="0" distB="0" distL="114300" distR="114300" simplePos="0" relativeHeight="251657728" behindDoc="1" locked="0" layoutInCell="1" allowOverlap="1">
                <wp:simplePos x="0" y="0"/>
                <wp:positionH relativeFrom="page">
                  <wp:posOffset>0</wp:posOffset>
                </wp:positionH>
                <wp:positionV relativeFrom="page">
                  <wp:posOffset>900430</wp:posOffset>
                </wp:positionV>
                <wp:extent cx="7560310" cy="720090"/>
                <wp:effectExtent l="0" t="0" r="2540" b="3810"/>
                <wp:wrapNone/>
                <wp:docPr id="3"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560310" cy="720090"/>
                        </a:xfrm>
                        <a:prstGeom prst="rect">
                          <a:avLst/>
                        </a:prstGeom>
                        <a:solidFill>
                          <a:srgbClr val="B0A69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1" o:spid="_x0000_s1026" style="position:absolute;margin-left:0;margin-top:70.9pt;width:595.3pt;height:56.7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" fillcolor="#b0a696" stroked="f">
                <w10:wrap anchorx="page" anchory="page"/>
              </v:rect>
            </w:pict>
          </mc:Fallback>
        </mc:AlternateContent>
      </w:r>
    </w:p>
    <w:p w:rsidR="00631909" w:rsidRPr="00877549" w:rsidRDefault="00024962" w:rsidP="00A10264">
      <w:pPr>
        <w:rPr>
          <w:b/>
          <w:color w:val="FFFFFF"/>
          <w:szCs w:val="20"/>
          <w:lang w:val="en-GB"/>
        </w:rPr>
      </w:pPr>
      <w:r w:rsidRPr="00877549">
        <w:rPr>
          <w:b/>
          <w:color w:val="FFFFFF"/>
          <w:szCs w:val="20"/>
          <w:lang w:val="en-GB"/>
        </w:rPr>
        <w:t>TABLE OF CONTENTS</w:t>
      </w:r>
    </w:p>
    <w:p w:rsidR="00631909" w:rsidRPr="00207DBD" w:rsidRDefault="00631909">
      <w:pPr>
        <w:rPr>
          <w:lang w:val="en-GB"/>
        </w:rPr>
      </w:pPr>
    </w:p>
    <w:p w:rsidR="00631909" w:rsidRPr="00207DBD" w:rsidRDefault="00631909">
      <w:pPr>
        <w:rPr>
          <w:lang w:val="en-GB"/>
        </w:rPr>
      </w:pPr>
    </w:p>
    <w:p w:rsidR="00877549" w:rsidRDefault="00877549">
      <w:pPr>
        <w:rPr>
          <w:lang w:val="en-GB"/>
        </w:rPr>
      </w:pPr>
      <w:r>
        <w:rPr>
          <w:lang w:val="en-GB"/>
        </w:rPr>
        <w:br w:type="page"/>
      </w:r>
    </w:p>
    <w:p w:rsidR="00631909" w:rsidRPr="00207DBD" w:rsidRDefault="00631909">
      <w:pPr>
        <w:rPr>
          <w:lang w:val="en-GB"/>
        </w:rPr>
      </w:pPr>
    </w:p>
    <w:p w:rsidR="00104CF2" w:rsidRPr="00877549" w:rsidRDefault="00024962" w:rsidP="00877549">
      <w:pPr>
        <w:rPr>
          <w:i/>
          <w:caps/>
          <w:lang w:val="en-GB"/>
        </w:rPr>
      </w:pPr>
      <w:r w:rsidRPr="00877549">
        <w:rPr>
          <w:i/>
          <w:lang w:val="en-GB"/>
        </w:rPr>
        <w:t>[Editorial note: Table of contents to be update</w:t>
      </w:r>
      <w:r w:rsidR="00467EBE">
        <w:rPr>
          <w:i/>
          <w:lang w:val="en-GB"/>
        </w:rPr>
        <w:t>d</w:t>
      </w:r>
      <w:r w:rsidRPr="00877549">
        <w:rPr>
          <w:i/>
          <w:lang w:val="en-GB"/>
        </w:rPr>
        <w:t xml:space="preserve"> to reflect new section titles and page numbers]</w:t>
      </w:r>
    </w:p>
    <w:p w:rsidR="00631909" w:rsidRPr="00877549" w:rsidRDefault="00024962">
      <w:pPr>
        <w:pStyle w:val="TM1"/>
        <w:tabs>
          <w:tab w:val="clear" w:pos="360"/>
          <w:tab w:val="left" w:pos="373"/>
        </w:tabs>
        <w:rPr>
          <w:rFonts w:ascii="Calibri" w:eastAsia="MS ??" w:hAnsi="Calibri"/>
          <w:b w:val="0"/>
          <w:caps w:val="0"/>
          <w:noProof/>
          <w:lang w:val="en-GB" w:eastAsia="ja-JP"/>
        </w:rPr>
      </w:pPr>
      <w:r w:rsidRPr="00877549">
        <w:rPr>
          <w:caps w:val="0"/>
          <w:lang w:val="en-GB"/>
        </w:rPr>
        <w:fldChar w:fldCharType="begin"/>
      </w:r>
      <w:r w:rsidR="00F8579A">
        <w:rPr>
          <w:caps w:val="0"/>
          <w:lang w:val="en-GB"/>
        </w:rPr>
        <w:instrText xml:space="preserve"> TOC \o "1-4" \h \z \u </w:instrText>
      </w:r>
      <w:r w:rsidRPr="00877549">
        <w:rPr>
          <w:caps w:val="0"/>
          <w:lang w:val="en-GB"/>
        </w:rPr>
        <w:fldChar w:fldCharType="separate"/>
      </w:r>
      <w:r w:rsidRPr="00877549">
        <w:rPr>
          <w:noProof/>
          <w:lang w:val="en-GB"/>
        </w:rPr>
        <w:t>0</w:t>
      </w:r>
      <w:r w:rsidRPr="00877549">
        <w:rPr>
          <w:rFonts w:ascii="Calibri" w:eastAsia="MS ??" w:hAnsi="Calibri"/>
          <w:b w:val="0"/>
          <w:caps w:val="0"/>
          <w:noProof/>
          <w:lang w:val="en-GB" w:eastAsia="ja-JP"/>
        </w:rPr>
        <w:tab/>
      </w:r>
      <w:r w:rsidRPr="00877549">
        <w:rPr>
          <w:noProof/>
          <w:lang w:val="en-GB"/>
        </w:rPr>
        <w:t>Executive summary</w:t>
      </w:r>
      <w:r w:rsidRPr="00877549">
        <w:rPr>
          <w:noProof/>
          <w:lang w:val="en-GB"/>
        </w:rPr>
        <w:tab/>
      </w:r>
      <w:r w:rsidRPr="00877549">
        <w:rPr>
          <w:noProof/>
          <w:lang w:val="en-GB"/>
        </w:rPr>
        <w:fldChar w:fldCharType="begin"/>
      </w:r>
      <w:r w:rsidRPr="00877549">
        <w:rPr>
          <w:noProof/>
          <w:lang w:val="en-GB"/>
        </w:rPr>
        <w:instrText xml:space="preserve"> PAGEREF _Toc183171024 \h </w:instrText>
      </w:r>
      <w:r w:rsidRPr="00877549">
        <w:rPr>
          <w:noProof/>
          <w:lang w:val="en-GB"/>
        </w:rPr>
      </w:r>
      <w:r w:rsidRPr="00877549">
        <w:rPr>
          <w:noProof/>
          <w:lang w:val="en-GB"/>
        </w:rPr>
        <w:fldChar w:fldCharType="separate"/>
      </w:r>
      <w:r w:rsidRPr="00877549">
        <w:rPr>
          <w:noProof/>
          <w:lang w:val="en-GB"/>
        </w:rPr>
        <w:t>2</w:t>
      </w:r>
      <w:r w:rsidRPr="00877549">
        <w:rPr>
          <w:noProof/>
          <w:lang w:val="en-GB"/>
        </w:rPr>
        <w:fldChar w:fldCharType="end"/>
      </w:r>
    </w:p>
    <w:p w:rsidR="00631909" w:rsidRPr="00877549" w:rsidRDefault="00024962">
      <w:pPr>
        <w:pStyle w:val="TM1"/>
        <w:tabs>
          <w:tab w:val="clear" w:pos="360"/>
          <w:tab w:val="left" w:pos="373"/>
        </w:tabs>
        <w:rPr>
          <w:rFonts w:ascii="Calibri" w:eastAsia="MS ??" w:hAnsi="Calibri"/>
          <w:b w:val="0"/>
          <w:caps w:val="0"/>
          <w:noProof/>
          <w:lang w:val="en-GB" w:eastAsia="ja-JP"/>
        </w:rPr>
      </w:pPr>
      <w:r w:rsidRPr="00877549">
        <w:rPr>
          <w:noProof/>
          <w:lang w:val="en-GB"/>
        </w:rPr>
        <w:t>1</w:t>
      </w:r>
      <w:r w:rsidRPr="00877549">
        <w:rPr>
          <w:rFonts w:ascii="Calibri" w:eastAsia="MS ??" w:hAnsi="Calibri"/>
          <w:b w:val="0"/>
          <w:caps w:val="0"/>
          <w:noProof/>
          <w:lang w:val="en-GB" w:eastAsia="ja-JP"/>
        </w:rPr>
        <w:tab/>
      </w:r>
      <w:r w:rsidRPr="00877549">
        <w:rPr>
          <w:noProof/>
          <w:lang w:val="en-GB"/>
        </w:rPr>
        <w:t>description of esomps</w:t>
      </w:r>
      <w:r w:rsidRPr="00877549">
        <w:rPr>
          <w:noProof/>
          <w:lang w:val="en-GB"/>
        </w:rPr>
        <w:tab/>
      </w:r>
      <w:r w:rsidRPr="00877549">
        <w:rPr>
          <w:noProof/>
          <w:lang w:val="en-GB"/>
        </w:rPr>
        <w:fldChar w:fldCharType="begin"/>
      </w:r>
      <w:r w:rsidRPr="00877549">
        <w:rPr>
          <w:noProof/>
          <w:lang w:val="en-GB"/>
        </w:rPr>
        <w:instrText xml:space="preserve"> PAGEREF _Toc183171025 \h </w:instrText>
      </w:r>
      <w:r w:rsidRPr="00877549">
        <w:rPr>
          <w:noProof/>
          <w:lang w:val="en-GB"/>
        </w:rPr>
      </w:r>
      <w:r w:rsidRPr="00877549">
        <w:rPr>
          <w:noProof/>
          <w:lang w:val="en-GB"/>
        </w:rPr>
        <w:fldChar w:fldCharType="separate"/>
      </w:r>
      <w:r w:rsidRPr="00877549">
        <w:rPr>
          <w:noProof/>
          <w:lang w:val="en-GB"/>
        </w:rPr>
        <w:t>4</w:t>
      </w:r>
      <w:r w:rsidRPr="00877549">
        <w:rPr>
          <w:noProof/>
          <w:lang w:val="en-GB"/>
        </w:rPr>
        <w:fldChar w:fldCharType="end"/>
      </w:r>
    </w:p>
    <w:p w:rsidR="00631909" w:rsidRPr="00877549" w:rsidRDefault="00024962">
      <w:pPr>
        <w:pStyle w:val="TM1"/>
        <w:tabs>
          <w:tab w:val="clear" w:pos="360"/>
          <w:tab w:val="left" w:pos="373"/>
        </w:tabs>
        <w:rPr>
          <w:rFonts w:ascii="Calibri" w:eastAsia="MS ??" w:hAnsi="Calibri"/>
          <w:b w:val="0"/>
          <w:caps w:val="0"/>
          <w:noProof/>
          <w:lang w:val="en-GB" w:eastAsia="ja-JP"/>
        </w:rPr>
      </w:pPr>
      <w:r w:rsidRPr="00877549">
        <w:rPr>
          <w:noProof/>
          <w:lang w:val="en-GB"/>
        </w:rPr>
        <w:t>2</w:t>
      </w:r>
      <w:r w:rsidRPr="00877549">
        <w:rPr>
          <w:rFonts w:ascii="Calibri" w:eastAsia="MS ??" w:hAnsi="Calibri"/>
          <w:b w:val="0"/>
          <w:caps w:val="0"/>
          <w:noProof/>
          <w:lang w:val="en-GB" w:eastAsia="ja-JP"/>
        </w:rPr>
        <w:tab/>
      </w:r>
      <w:r w:rsidRPr="00877549">
        <w:rPr>
          <w:noProof/>
          <w:lang w:val="en-GB"/>
        </w:rPr>
        <w:t>Need for Access by gso esomps to portions of the 27.5-30.0 GHz and 17.3-20.2 GHz bands that are identified for uncoordinated FSS</w:t>
      </w:r>
      <w:r w:rsidRPr="00877549">
        <w:rPr>
          <w:noProof/>
          <w:lang w:val="en-GB"/>
        </w:rPr>
        <w:tab/>
      </w:r>
      <w:r w:rsidRPr="00877549">
        <w:rPr>
          <w:noProof/>
          <w:lang w:val="en-GB"/>
        </w:rPr>
        <w:fldChar w:fldCharType="begin"/>
      </w:r>
      <w:r w:rsidRPr="00877549">
        <w:rPr>
          <w:noProof/>
          <w:lang w:val="en-GB"/>
        </w:rPr>
        <w:instrText xml:space="preserve"> PAGEREF _Toc183171026 \h </w:instrText>
      </w:r>
      <w:r w:rsidRPr="00877549">
        <w:rPr>
          <w:noProof/>
          <w:lang w:val="en-GB"/>
        </w:rPr>
      </w:r>
      <w:r w:rsidRPr="00877549">
        <w:rPr>
          <w:noProof/>
          <w:lang w:val="en-GB"/>
        </w:rPr>
        <w:fldChar w:fldCharType="separate"/>
      </w:r>
      <w:r w:rsidRPr="00877549">
        <w:rPr>
          <w:noProof/>
          <w:lang w:val="en-GB"/>
        </w:rPr>
        <w:t>5</w:t>
      </w:r>
      <w:r w:rsidRPr="00877549">
        <w:rPr>
          <w:noProof/>
          <w:lang w:val="en-GB"/>
        </w:rPr>
        <w:fldChar w:fldCharType="end"/>
      </w:r>
    </w:p>
    <w:p w:rsidR="00631909" w:rsidRPr="00877549" w:rsidRDefault="00024962">
      <w:pPr>
        <w:pStyle w:val="TM1"/>
        <w:tabs>
          <w:tab w:val="clear" w:pos="360"/>
          <w:tab w:val="left" w:pos="373"/>
        </w:tabs>
        <w:rPr>
          <w:rFonts w:ascii="Calibri" w:eastAsia="MS ??" w:hAnsi="Calibri"/>
          <w:b w:val="0"/>
          <w:caps w:val="0"/>
          <w:noProof/>
          <w:lang w:val="en-GB" w:eastAsia="ja-JP"/>
        </w:rPr>
      </w:pPr>
      <w:r w:rsidRPr="00877549">
        <w:rPr>
          <w:noProof/>
          <w:lang w:val="en-GB"/>
        </w:rPr>
        <w:t>3</w:t>
      </w:r>
      <w:r w:rsidRPr="00877549">
        <w:rPr>
          <w:rFonts w:ascii="Calibri" w:eastAsia="MS ??" w:hAnsi="Calibri"/>
          <w:b w:val="0"/>
          <w:caps w:val="0"/>
          <w:noProof/>
          <w:lang w:val="en-GB" w:eastAsia="ja-JP"/>
        </w:rPr>
        <w:tab/>
      </w:r>
      <w:r w:rsidRPr="00877549">
        <w:rPr>
          <w:noProof/>
          <w:lang w:val="en-GB"/>
        </w:rPr>
        <w:t>Regulatory Framework for ESOMPs</w:t>
      </w:r>
      <w:r w:rsidRPr="00877549">
        <w:rPr>
          <w:noProof/>
          <w:lang w:val="en-GB"/>
        </w:rPr>
        <w:tab/>
      </w:r>
      <w:r w:rsidRPr="00877549">
        <w:rPr>
          <w:noProof/>
          <w:lang w:val="en-GB"/>
        </w:rPr>
        <w:fldChar w:fldCharType="begin"/>
      </w:r>
      <w:r w:rsidRPr="00877549">
        <w:rPr>
          <w:noProof/>
          <w:lang w:val="en-GB"/>
        </w:rPr>
        <w:instrText xml:space="preserve"> PAGEREF _Toc183171027 \h </w:instrText>
      </w:r>
      <w:r w:rsidRPr="00877549">
        <w:rPr>
          <w:noProof/>
          <w:lang w:val="en-GB"/>
        </w:rPr>
      </w:r>
      <w:r w:rsidRPr="00877549">
        <w:rPr>
          <w:noProof/>
          <w:lang w:val="en-GB"/>
        </w:rPr>
        <w:fldChar w:fldCharType="separate"/>
      </w:r>
      <w:r w:rsidRPr="00877549">
        <w:rPr>
          <w:noProof/>
          <w:lang w:val="en-GB"/>
        </w:rPr>
        <w:t>6</w:t>
      </w:r>
      <w:r w:rsidRPr="00877549">
        <w:rPr>
          <w:noProof/>
          <w:lang w:val="en-GB"/>
        </w:rPr>
        <w:fldChar w:fldCharType="end"/>
      </w:r>
    </w:p>
    <w:p w:rsidR="00631909" w:rsidRPr="00877549" w:rsidRDefault="00024962">
      <w:pPr>
        <w:pStyle w:val="TM2"/>
        <w:tabs>
          <w:tab w:val="left" w:pos="934"/>
        </w:tabs>
        <w:rPr>
          <w:rFonts w:ascii="Calibri" w:eastAsia="MS ??" w:hAnsi="Calibri"/>
          <w:noProof/>
          <w:lang w:val="en-GB" w:eastAsia="ja-JP"/>
        </w:rPr>
      </w:pPr>
      <w:r w:rsidRPr="00877549">
        <w:rPr>
          <w:noProof/>
          <w:lang w:val="en-GB"/>
        </w:rPr>
        <w:t>3.1</w:t>
      </w:r>
      <w:r w:rsidRPr="00877549">
        <w:rPr>
          <w:rFonts w:ascii="Calibri" w:eastAsia="MS ??" w:hAnsi="Calibri"/>
          <w:noProof/>
          <w:lang w:val="en-GB" w:eastAsia="ja-JP"/>
        </w:rPr>
        <w:tab/>
      </w:r>
      <w:r w:rsidRPr="00877549">
        <w:rPr>
          <w:noProof/>
          <w:lang w:val="en-GB"/>
        </w:rPr>
        <w:t>ITU-R</w:t>
      </w:r>
      <w:r w:rsidRPr="00877549">
        <w:rPr>
          <w:noProof/>
          <w:lang w:val="en-GB"/>
        </w:rPr>
        <w:tab/>
      </w:r>
      <w:r w:rsidRPr="00877549">
        <w:rPr>
          <w:noProof/>
          <w:lang w:val="en-GB"/>
        </w:rPr>
        <w:fldChar w:fldCharType="begin"/>
      </w:r>
      <w:r w:rsidRPr="00877549">
        <w:rPr>
          <w:noProof/>
          <w:lang w:val="en-GB"/>
        </w:rPr>
        <w:instrText xml:space="preserve"> PAGEREF _Toc183171028 \h </w:instrText>
      </w:r>
      <w:r w:rsidRPr="00877549">
        <w:rPr>
          <w:noProof/>
          <w:lang w:val="en-GB"/>
        </w:rPr>
      </w:r>
      <w:r w:rsidRPr="00877549">
        <w:rPr>
          <w:noProof/>
          <w:lang w:val="en-GB"/>
        </w:rPr>
        <w:fldChar w:fldCharType="separate"/>
      </w:r>
      <w:r w:rsidRPr="00877549">
        <w:rPr>
          <w:noProof/>
          <w:lang w:val="en-GB"/>
        </w:rPr>
        <w:t>6</w:t>
      </w:r>
      <w:r w:rsidRPr="00877549">
        <w:rPr>
          <w:noProof/>
          <w:lang w:val="en-GB"/>
        </w:rPr>
        <w:fldChar w:fldCharType="end"/>
      </w:r>
    </w:p>
    <w:p w:rsidR="00631909" w:rsidRPr="00877549" w:rsidRDefault="00024962">
      <w:pPr>
        <w:pStyle w:val="TM3"/>
        <w:tabs>
          <w:tab w:val="left" w:pos="1674"/>
        </w:tabs>
        <w:rPr>
          <w:rFonts w:ascii="Calibri" w:eastAsia="MS ??" w:hAnsi="Calibri"/>
          <w:noProof/>
          <w:lang w:val="en-GB" w:eastAsia="ja-JP"/>
        </w:rPr>
      </w:pPr>
      <w:r w:rsidRPr="00877549">
        <w:rPr>
          <w:noProof/>
          <w:lang w:val="en-GB"/>
        </w:rPr>
        <w:t>3.1.1</w:t>
      </w:r>
      <w:r w:rsidRPr="00877549">
        <w:rPr>
          <w:rFonts w:ascii="Calibri" w:eastAsia="MS ??" w:hAnsi="Calibri"/>
          <w:noProof/>
          <w:lang w:val="en-GB" w:eastAsia="ja-JP"/>
        </w:rPr>
        <w:tab/>
      </w:r>
      <w:r w:rsidRPr="00877549">
        <w:rPr>
          <w:noProof/>
          <w:lang w:val="en-GB"/>
        </w:rPr>
        <w:t>WRC-03 Decisions on AMSS operating in the 14.0-14.5 GHz band</w:t>
      </w:r>
      <w:r w:rsidRPr="00877549">
        <w:rPr>
          <w:noProof/>
          <w:lang w:val="en-GB"/>
        </w:rPr>
        <w:tab/>
      </w:r>
      <w:r w:rsidRPr="00877549">
        <w:rPr>
          <w:noProof/>
          <w:lang w:val="en-GB"/>
        </w:rPr>
        <w:fldChar w:fldCharType="begin"/>
      </w:r>
      <w:r w:rsidRPr="00877549">
        <w:rPr>
          <w:noProof/>
          <w:lang w:val="en-GB"/>
        </w:rPr>
        <w:instrText xml:space="preserve"> PAGEREF _Toc183171029 \h </w:instrText>
      </w:r>
      <w:r w:rsidRPr="00877549">
        <w:rPr>
          <w:noProof/>
          <w:lang w:val="en-GB"/>
        </w:rPr>
      </w:r>
      <w:r w:rsidRPr="00877549">
        <w:rPr>
          <w:noProof/>
          <w:lang w:val="en-GB"/>
        </w:rPr>
        <w:fldChar w:fldCharType="separate"/>
      </w:r>
      <w:r w:rsidRPr="00877549">
        <w:rPr>
          <w:noProof/>
          <w:lang w:val="en-GB"/>
        </w:rPr>
        <w:t>6</w:t>
      </w:r>
      <w:r w:rsidRPr="00877549">
        <w:rPr>
          <w:noProof/>
          <w:lang w:val="en-GB"/>
        </w:rPr>
        <w:fldChar w:fldCharType="end"/>
      </w:r>
    </w:p>
    <w:p w:rsidR="00631909" w:rsidRPr="00877549" w:rsidRDefault="00024962">
      <w:pPr>
        <w:pStyle w:val="TM3"/>
        <w:tabs>
          <w:tab w:val="left" w:pos="1674"/>
        </w:tabs>
        <w:rPr>
          <w:rFonts w:ascii="Calibri" w:eastAsia="MS ??" w:hAnsi="Calibri"/>
          <w:noProof/>
          <w:lang w:val="en-GB" w:eastAsia="ja-JP"/>
        </w:rPr>
      </w:pPr>
      <w:r w:rsidRPr="00877549">
        <w:rPr>
          <w:noProof/>
          <w:lang w:val="en-GB"/>
        </w:rPr>
        <w:t>3.1.2</w:t>
      </w:r>
      <w:r w:rsidRPr="00877549">
        <w:rPr>
          <w:rFonts w:ascii="Calibri" w:eastAsia="MS ??" w:hAnsi="Calibri"/>
          <w:noProof/>
          <w:lang w:val="en-GB" w:eastAsia="ja-JP"/>
        </w:rPr>
        <w:tab/>
      </w:r>
      <w:r w:rsidRPr="00877549">
        <w:rPr>
          <w:noProof/>
          <w:lang w:val="en-GB"/>
        </w:rPr>
        <w:t>WRC-03 Decisions on ESVs operating at C-BAND and Ku-BAND</w:t>
      </w:r>
      <w:r w:rsidRPr="00877549">
        <w:rPr>
          <w:noProof/>
          <w:lang w:val="en-GB"/>
        </w:rPr>
        <w:tab/>
      </w:r>
      <w:r w:rsidRPr="00877549">
        <w:rPr>
          <w:noProof/>
          <w:lang w:val="en-GB"/>
        </w:rPr>
        <w:fldChar w:fldCharType="begin"/>
      </w:r>
      <w:r w:rsidRPr="00877549">
        <w:rPr>
          <w:noProof/>
          <w:lang w:val="en-GB"/>
        </w:rPr>
        <w:instrText xml:space="preserve"> PAGEREF _Toc183171030 \h </w:instrText>
      </w:r>
      <w:r w:rsidRPr="00877549">
        <w:rPr>
          <w:noProof/>
          <w:lang w:val="en-GB"/>
        </w:rPr>
      </w:r>
      <w:r w:rsidRPr="00877549">
        <w:rPr>
          <w:noProof/>
          <w:lang w:val="en-GB"/>
        </w:rPr>
        <w:fldChar w:fldCharType="separate"/>
      </w:r>
      <w:r w:rsidRPr="00877549">
        <w:rPr>
          <w:noProof/>
          <w:lang w:val="en-GB"/>
        </w:rPr>
        <w:t>7</w:t>
      </w:r>
      <w:r w:rsidRPr="00877549">
        <w:rPr>
          <w:noProof/>
          <w:lang w:val="en-GB"/>
        </w:rPr>
        <w:fldChar w:fldCharType="end"/>
      </w:r>
    </w:p>
    <w:p w:rsidR="00631909" w:rsidRPr="00877549" w:rsidRDefault="00024962">
      <w:pPr>
        <w:pStyle w:val="TM3"/>
        <w:tabs>
          <w:tab w:val="left" w:pos="1674"/>
        </w:tabs>
        <w:rPr>
          <w:rFonts w:ascii="Calibri" w:eastAsia="MS ??" w:hAnsi="Calibri"/>
          <w:noProof/>
          <w:lang w:val="en-GB" w:eastAsia="ja-JP"/>
        </w:rPr>
      </w:pPr>
      <w:r w:rsidRPr="00877549">
        <w:rPr>
          <w:noProof/>
          <w:lang w:val="en-GB"/>
        </w:rPr>
        <w:t>3.1.3</w:t>
      </w:r>
      <w:r w:rsidRPr="00877549">
        <w:rPr>
          <w:rFonts w:ascii="Calibri" w:eastAsia="MS ??" w:hAnsi="Calibri"/>
          <w:noProof/>
          <w:lang w:val="en-GB" w:eastAsia="ja-JP"/>
        </w:rPr>
        <w:tab/>
      </w:r>
      <w:r w:rsidRPr="00877549">
        <w:rPr>
          <w:noProof/>
          <w:lang w:val="en-GB"/>
        </w:rPr>
        <w:t>WRC-03 Decisions on HDFSS</w:t>
      </w:r>
      <w:r w:rsidRPr="00877549">
        <w:rPr>
          <w:noProof/>
          <w:lang w:val="en-GB"/>
        </w:rPr>
        <w:tab/>
      </w:r>
      <w:r w:rsidRPr="00877549">
        <w:rPr>
          <w:noProof/>
          <w:lang w:val="en-GB"/>
        </w:rPr>
        <w:fldChar w:fldCharType="begin"/>
      </w:r>
      <w:r w:rsidRPr="00877549">
        <w:rPr>
          <w:noProof/>
          <w:lang w:val="en-GB"/>
        </w:rPr>
        <w:instrText xml:space="preserve"> PAGEREF _Toc183171031 \h </w:instrText>
      </w:r>
      <w:r w:rsidRPr="00877549">
        <w:rPr>
          <w:noProof/>
          <w:lang w:val="en-GB"/>
        </w:rPr>
      </w:r>
      <w:r w:rsidRPr="00877549">
        <w:rPr>
          <w:noProof/>
          <w:lang w:val="en-GB"/>
        </w:rPr>
        <w:fldChar w:fldCharType="separate"/>
      </w:r>
      <w:r w:rsidRPr="00877549">
        <w:rPr>
          <w:noProof/>
          <w:lang w:val="en-GB"/>
        </w:rPr>
        <w:t>7</w:t>
      </w:r>
      <w:r w:rsidRPr="00877549">
        <w:rPr>
          <w:noProof/>
          <w:lang w:val="en-GB"/>
        </w:rPr>
        <w:fldChar w:fldCharType="end"/>
      </w:r>
    </w:p>
    <w:p w:rsidR="00631909" w:rsidRPr="00877549" w:rsidRDefault="00024962">
      <w:pPr>
        <w:pStyle w:val="TM2"/>
        <w:tabs>
          <w:tab w:val="left" w:pos="934"/>
        </w:tabs>
        <w:rPr>
          <w:rFonts w:ascii="Calibri" w:eastAsia="MS ??" w:hAnsi="Calibri"/>
          <w:noProof/>
          <w:lang w:val="en-GB" w:eastAsia="ja-JP"/>
        </w:rPr>
      </w:pPr>
      <w:r w:rsidRPr="00877549">
        <w:rPr>
          <w:noProof/>
          <w:lang w:val="en-GB"/>
        </w:rPr>
        <w:t>3.2</w:t>
      </w:r>
      <w:r w:rsidRPr="00877549">
        <w:rPr>
          <w:rFonts w:ascii="Calibri" w:eastAsia="MS ??" w:hAnsi="Calibri"/>
          <w:noProof/>
          <w:lang w:val="en-GB" w:eastAsia="ja-JP"/>
        </w:rPr>
        <w:tab/>
      </w:r>
      <w:r w:rsidRPr="00877549">
        <w:rPr>
          <w:noProof/>
          <w:lang w:val="en-GB"/>
        </w:rPr>
        <w:t>CEPT</w:t>
      </w:r>
      <w:r w:rsidRPr="00877549">
        <w:rPr>
          <w:noProof/>
          <w:lang w:val="en-GB"/>
        </w:rPr>
        <w:tab/>
      </w:r>
      <w:r w:rsidRPr="00877549">
        <w:rPr>
          <w:noProof/>
          <w:lang w:val="en-GB"/>
        </w:rPr>
        <w:fldChar w:fldCharType="begin"/>
      </w:r>
      <w:r w:rsidRPr="00877549">
        <w:rPr>
          <w:noProof/>
          <w:lang w:val="en-GB"/>
        </w:rPr>
        <w:instrText xml:space="preserve"> PAGEREF _Toc183171032 \h </w:instrText>
      </w:r>
      <w:r w:rsidRPr="00877549">
        <w:rPr>
          <w:noProof/>
          <w:lang w:val="en-GB"/>
        </w:rPr>
      </w:r>
      <w:r w:rsidRPr="00877549">
        <w:rPr>
          <w:noProof/>
          <w:lang w:val="en-GB"/>
        </w:rPr>
        <w:fldChar w:fldCharType="separate"/>
      </w:r>
      <w:r w:rsidRPr="00877549">
        <w:rPr>
          <w:noProof/>
          <w:lang w:val="en-GB"/>
        </w:rPr>
        <w:t>8</w:t>
      </w:r>
      <w:r w:rsidRPr="00877549">
        <w:rPr>
          <w:noProof/>
          <w:lang w:val="en-GB"/>
        </w:rPr>
        <w:fldChar w:fldCharType="end"/>
      </w:r>
    </w:p>
    <w:p w:rsidR="00631909" w:rsidRPr="00877549" w:rsidRDefault="00024962">
      <w:pPr>
        <w:pStyle w:val="TM3"/>
        <w:tabs>
          <w:tab w:val="left" w:pos="1674"/>
        </w:tabs>
        <w:rPr>
          <w:rFonts w:ascii="Calibri" w:eastAsia="MS ??" w:hAnsi="Calibri"/>
          <w:noProof/>
          <w:lang w:val="en-GB" w:eastAsia="ja-JP"/>
        </w:rPr>
      </w:pPr>
      <w:r w:rsidRPr="00877549">
        <w:rPr>
          <w:noProof/>
          <w:highlight w:val="yellow"/>
          <w:lang w:val="en-GB"/>
        </w:rPr>
        <w:t>3.2.1</w:t>
      </w:r>
      <w:r w:rsidRPr="00877549">
        <w:rPr>
          <w:rFonts w:ascii="Calibri" w:eastAsia="MS ??" w:hAnsi="Calibri"/>
          <w:noProof/>
          <w:lang w:val="en-GB" w:eastAsia="ja-JP"/>
        </w:rPr>
        <w:tab/>
      </w:r>
      <w:r w:rsidRPr="00877549">
        <w:rPr>
          <w:noProof/>
          <w:lang w:val="en-GB"/>
        </w:rPr>
        <w:t>CEPT Regulatory Framework for AESs and ESVs</w:t>
      </w:r>
      <w:r w:rsidRPr="00877549">
        <w:rPr>
          <w:noProof/>
          <w:lang w:val="en-GB"/>
        </w:rPr>
        <w:tab/>
      </w:r>
      <w:r w:rsidRPr="00877549">
        <w:rPr>
          <w:noProof/>
          <w:lang w:val="en-GB"/>
        </w:rPr>
        <w:fldChar w:fldCharType="begin"/>
      </w:r>
      <w:r w:rsidRPr="00877549">
        <w:rPr>
          <w:noProof/>
          <w:lang w:val="en-GB"/>
        </w:rPr>
        <w:instrText xml:space="preserve"> PAGEREF _Toc183171033 \h </w:instrText>
      </w:r>
      <w:r w:rsidRPr="00877549">
        <w:rPr>
          <w:noProof/>
          <w:lang w:val="en-GB"/>
        </w:rPr>
      </w:r>
      <w:r w:rsidRPr="00877549">
        <w:rPr>
          <w:noProof/>
          <w:lang w:val="en-GB"/>
        </w:rPr>
        <w:fldChar w:fldCharType="separate"/>
      </w:r>
      <w:r w:rsidRPr="00877549">
        <w:rPr>
          <w:noProof/>
          <w:lang w:val="en-GB"/>
        </w:rPr>
        <w:t>9</w:t>
      </w:r>
      <w:r w:rsidRPr="00877549">
        <w:rPr>
          <w:noProof/>
          <w:lang w:val="en-GB"/>
        </w:rPr>
        <w:fldChar w:fldCharType="end"/>
      </w:r>
    </w:p>
    <w:p w:rsidR="00631909" w:rsidRPr="00877549" w:rsidRDefault="00024962">
      <w:pPr>
        <w:pStyle w:val="TM2"/>
        <w:tabs>
          <w:tab w:val="left" w:pos="934"/>
        </w:tabs>
        <w:rPr>
          <w:rFonts w:ascii="Calibri" w:eastAsia="MS ??" w:hAnsi="Calibri"/>
          <w:noProof/>
          <w:lang w:val="en-GB" w:eastAsia="ja-JP"/>
        </w:rPr>
      </w:pPr>
      <w:r w:rsidRPr="00877549">
        <w:rPr>
          <w:noProof/>
          <w:lang w:val="en-GB"/>
        </w:rPr>
        <w:t>3.3</w:t>
      </w:r>
      <w:r w:rsidRPr="00877549">
        <w:rPr>
          <w:rFonts w:ascii="Calibri" w:eastAsia="MS ??" w:hAnsi="Calibri"/>
          <w:noProof/>
          <w:lang w:val="en-GB" w:eastAsia="ja-JP"/>
        </w:rPr>
        <w:tab/>
      </w:r>
      <w:r w:rsidRPr="00877549">
        <w:rPr>
          <w:noProof/>
          <w:lang w:val="en-GB"/>
        </w:rPr>
        <w:t>Applicability of Previous Frameworks to ESOMPs in Ka-band</w:t>
      </w:r>
      <w:r w:rsidRPr="00877549">
        <w:rPr>
          <w:noProof/>
          <w:lang w:val="en-GB"/>
        </w:rPr>
        <w:tab/>
      </w:r>
      <w:r w:rsidRPr="00877549">
        <w:rPr>
          <w:noProof/>
          <w:lang w:val="en-GB"/>
        </w:rPr>
        <w:fldChar w:fldCharType="begin"/>
      </w:r>
      <w:r w:rsidRPr="00877549">
        <w:rPr>
          <w:noProof/>
          <w:lang w:val="en-GB"/>
        </w:rPr>
        <w:instrText xml:space="preserve"> PAGEREF _Toc183171034 \h </w:instrText>
      </w:r>
      <w:r w:rsidRPr="00877549">
        <w:rPr>
          <w:noProof/>
          <w:lang w:val="en-GB"/>
        </w:rPr>
      </w:r>
      <w:r w:rsidRPr="00877549">
        <w:rPr>
          <w:noProof/>
          <w:lang w:val="en-GB"/>
        </w:rPr>
        <w:fldChar w:fldCharType="separate"/>
      </w:r>
      <w:r w:rsidRPr="00877549">
        <w:rPr>
          <w:noProof/>
          <w:lang w:val="en-GB"/>
        </w:rPr>
        <w:t>9</w:t>
      </w:r>
      <w:r w:rsidRPr="00877549">
        <w:rPr>
          <w:noProof/>
          <w:lang w:val="en-GB"/>
        </w:rPr>
        <w:fldChar w:fldCharType="end"/>
      </w:r>
    </w:p>
    <w:p w:rsidR="00631909" w:rsidRPr="00877549" w:rsidRDefault="00024962">
      <w:pPr>
        <w:pStyle w:val="TM3"/>
        <w:tabs>
          <w:tab w:val="left" w:pos="1674"/>
        </w:tabs>
        <w:rPr>
          <w:rFonts w:ascii="Calibri" w:eastAsia="MS ??" w:hAnsi="Calibri"/>
          <w:noProof/>
          <w:lang w:val="en-GB" w:eastAsia="ja-JP"/>
        </w:rPr>
      </w:pPr>
      <w:r w:rsidRPr="00877549">
        <w:rPr>
          <w:noProof/>
          <w:lang w:val="en-GB"/>
        </w:rPr>
        <w:t>3.3.1</w:t>
      </w:r>
      <w:r w:rsidRPr="00877549">
        <w:rPr>
          <w:rFonts w:ascii="Calibri" w:eastAsia="MS ??" w:hAnsi="Calibri"/>
          <w:noProof/>
          <w:lang w:val="en-GB" w:eastAsia="ja-JP"/>
        </w:rPr>
        <w:tab/>
      </w:r>
      <w:r w:rsidRPr="00877549">
        <w:rPr>
          <w:noProof/>
          <w:lang w:val="en-GB"/>
        </w:rPr>
        <w:t>ESOMPs for GSO Systems</w:t>
      </w:r>
      <w:r w:rsidRPr="00877549">
        <w:rPr>
          <w:noProof/>
          <w:lang w:val="en-GB"/>
        </w:rPr>
        <w:tab/>
      </w:r>
      <w:r w:rsidRPr="00877549">
        <w:rPr>
          <w:noProof/>
          <w:lang w:val="en-GB"/>
        </w:rPr>
        <w:fldChar w:fldCharType="begin"/>
      </w:r>
      <w:r w:rsidRPr="00877549">
        <w:rPr>
          <w:noProof/>
          <w:lang w:val="en-GB"/>
        </w:rPr>
        <w:instrText xml:space="preserve"> PAGEREF _Toc183171035 \h </w:instrText>
      </w:r>
      <w:r w:rsidRPr="00877549">
        <w:rPr>
          <w:noProof/>
          <w:lang w:val="en-GB"/>
        </w:rPr>
      </w:r>
      <w:r w:rsidRPr="00877549">
        <w:rPr>
          <w:noProof/>
          <w:lang w:val="en-GB"/>
        </w:rPr>
        <w:fldChar w:fldCharType="separate"/>
      </w:r>
      <w:r w:rsidRPr="00877549">
        <w:rPr>
          <w:noProof/>
          <w:lang w:val="en-GB"/>
        </w:rPr>
        <w:t>9</w:t>
      </w:r>
      <w:r w:rsidRPr="00877549">
        <w:rPr>
          <w:noProof/>
          <w:lang w:val="en-GB"/>
        </w:rPr>
        <w:fldChar w:fldCharType="end"/>
      </w:r>
    </w:p>
    <w:p w:rsidR="00631909" w:rsidRPr="00877549" w:rsidRDefault="00024962">
      <w:pPr>
        <w:pStyle w:val="TM1"/>
        <w:tabs>
          <w:tab w:val="clear" w:pos="360"/>
          <w:tab w:val="left" w:pos="373"/>
        </w:tabs>
        <w:rPr>
          <w:rFonts w:ascii="Calibri" w:eastAsia="MS ??" w:hAnsi="Calibri"/>
          <w:b w:val="0"/>
          <w:caps w:val="0"/>
          <w:noProof/>
          <w:lang w:val="en-GB" w:eastAsia="ja-JP"/>
        </w:rPr>
      </w:pPr>
      <w:r w:rsidRPr="00877549">
        <w:rPr>
          <w:noProof/>
          <w:lang w:val="en-GB"/>
        </w:rPr>
        <w:t>4</w:t>
      </w:r>
      <w:r w:rsidRPr="00877549">
        <w:rPr>
          <w:rFonts w:ascii="Calibri" w:eastAsia="MS ??" w:hAnsi="Calibri"/>
          <w:b w:val="0"/>
          <w:caps w:val="0"/>
          <w:noProof/>
          <w:lang w:val="en-GB" w:eastAsia="ja-JP"/>
        </w:rPr>
        <w:tab/>
      </w:r>
      <w:r w:rsidRPr="00877549">
        <w:rPr>
          <w:noProof/>
          <w:lang w:val="en-GB"/>
        </w:rPr>
        <w:t>work conducted within CEPT on ESOMPs in the 27.5-30.0 GHz and 17.3-20.2 GHz bands</w:t>
      </w:r>
      <w:r w:rsidRPr="00877549">
        <w:rPr>
          <w:noProof/>
          <w:lang w:val="en-GB"/>
        </w:rPr>
        <w:tab/>
      </w:r>
      <w:r w:rsidRPr="00877549">
        <w:rPr>
          <w:noProof/>
          <w:lang w:val="en-GB"/>
        </w:rPr>
        <w:fldChar w:fldCharType="begin"/>
      </w:r>
      <w:r w:rsidRPr="00877549">
        <w:rPr>
          <w:noProof/>
          <w:lang w:val="en-GB"/>
        </w:rPr>
        <w:instrText xml:space="preserve"> PAGEREF _Toc183171036 \h </w:instrText>
      </w:r>
      <w:r w:rsidRPr="00877549">
        <w:rPr>
          <w:noProof/>
          <w:lang w:val="en-GB"/>
        </w:rPr>
      </w:r>
      <w:r w:rsidRPr="00877549">
        <w:rPr>
          <w:noProof/>
          <w:lang w:val="en-GB"/>
        </w:rPr>
        <w:fldChar w:fldCharType="separate"/>
      </w:r>
      <w:r w:rsidRPr="00877549">
        <w:rPr>
          <w:noProof/>
          <w:lang w:val="en-GB"/>
        </w:rPr>
        <w:t>12</w:t>
      </w:r>
      <w:r w:rsidRPr="00877549">
        <w:rPr>
          <w:noProof/>
          <w:lang w:val="en-GB"/>
        </w:rPr>
        <w:fldChar w:fldCharType="end"/>
      </w:r>
    </w:p>
    <w:p w:rsidR="00631909" w:rsidRPr="00877549" w:rsidRDefault="00024962">
      <w:pPr>
        <w:pStyle w:val="TM2"/>
        <w:tabs>
          <w:tab w:val="left" w:pos="934"/>
        </w:tabs>
        <w:rPr>
          <w:rFonts w:ascii="Calibri" w:eastAsia="MS ??" w:hAnsi="Calibri"/>
          <w:noProof/>
          <w:lang w:val="en-GB" w:eastAsia="ja-JP"/>
        </w:rPr>
      </w:pPr>
      <w:r w:rsidRPr="00877549">
        <w:rPr>
          <w:noProof/>
          <w:lang w:val="en-GB"/>
        </w:rPr>
        <w:t>4.1</w:t>
      </w:r>
      <w:r w:rsidRPr="00877549">
        <w:rPr>
          <w:rFonts w:ascii="Calibri" w:eastAsia="MS ??" w:hAnsi="Calibri"/>
          <w:noProof/>
          <w:lang w:val="en-GB" w:eastAsia="ja-JP"/>
        </w:rPr>
        <w:tab/>
      </w:r>
      <w:r w:rsidRPr="00877549">
        <w:rPr>
          <w:noProof/>
          <w:lang w:val="en-GB"/>
        </w:rPr>
        <w:t>Classification of GSO ESOMPs</w:t>
      </w:r>
      <w:r w:rsidRPr="00877549">
        <w:rPr>
          <w:noProof/>
          <w:lang w:val="en-GB"/>
        </w:rPr>
        <w:tab/>
      </w:r>
      <w:r w:rsidRPr="00877549">
        <w:rPr>
          <w:noProof/>
          <w:lang w:val="en-GB"/>
        </w:rPr>
        <w:fldChar w:fldCharType="begin"/>
      </w:r>
      <w:r w:rsidRPr="00877549">
        <w:rPr>
          <w:noProof/>
          <w:lang w:val="en-GB"/>
        </w:rPr>
        <w:instrText xml:space="preserve"> PAGEREF _Toc183171037 \h </w:instrText>
      </w:r>
      <w:r w:rsidRPr="00877549">
        <w:rPr>
          <w:noProof/>
          <w:lang w:val="en-GB"/>
        </w:rPr>
      </w:r>
      <w:r w:rsidRPr="00877549">
        <w:rPr>
          <w:noProof/>
          <w:lang w:val="en-GB"/>
        </w:rPr>
        <w:fldChar w:fldCharType="separate"/>
      </w:r>
      <w:r w:rsidRPr="00877549">
        <w:rPr>
          <w:noProof/>
          <w:lang w:val="en-GB"/>
        </w:rPr>
        <w:t>12</w:t>
      </w:r>
      <w:r w:rsidRPr="00877549">
        <w:rPr>
          <w:noProof/>
          <w:lang w:val="en-GB"/>
        </w:rPr>
        <w:fldChar w:fldCharType="end"/>
      </w:r>
    </w:p>
    <w:p w:rsidR="00631909" w:rsidRPr="00877549" w:rsidRDefault="00024962">
      <w:pPr>
        <w:pStyle w:val="TM2"/>
        <w:tabs>
          <w:tab w:val="left" w:pos="934"/>
        </w:tabs>
        <w:rPr>
          <w:rFonts w:ascii="Calibri" w:eastAsia="MS ??" w:hAnsi="Calibri"/>
          <w:noProof/>
          <w:lang w:val="en-GB" w:eastAsia="ja-JP"/>
        </w:rPr>
      </w:pPr>
      <w:r w:rsidRPr="00877549">
        <w:rPr>
          <w:noProof/>
          <w:lang w:val="en-GB"/>
        </w:rPr>
        <w:t>4.2</w:t>
      </w:r>
      <w:r w:rsidRPr="00877549">
        <w:rPr>
          <w:rFonts w:ascii="Calibri" w:eastAsia="MS ??" w:hAnsi="Calibri"/>
          <w:noProof/>
          <w:lang w:val="en-GB" w:eastAsia="ja-JP"/>
        </w:rPr>
        <w:tab/>
      </w:r>
      <w:r w:rsidRPr="00877549">
        <w:rPr>
          <w:noProof/>
          <w:lang w:val="en-GB"/>
        </w:rPr>
        <w:t>Sharing with FS - Difference Between Typical Uncoordinated FSS Earth Stations and ESOMPs</w:t>
      </w:r>
      <w:r w:rsidRPr="00877549">
        <w:rPr>
          <w:noProof/>
          <w:lang w:val="en-GB"/>
        </w:rPr>
        <w:tab/>
      </w:r>
      <w:r w:rsidRPr="00877549">
        <w:rPr>
          <w:noProof/>
          <w:lang w:val="en-GB"/>
        </w:rPr>
        <w:fldChar w:fldCharType="begin"/>
      </w:r>
      <w:r w:rsidRPr="00877549">
        <w:rPr>
          <w:noProof/>
          <w:lang w:val="en-GB"/>
        </w:rPr>
        <w:instrText xml:space="preserve"> PAGEREF _Toc183171038 \h </w:instrText>
      </w:r>
      <w:r w:rsidRPr="00877549">
        <w:rPr>
          <w:noProof/>
          <w:lang w:val="en-GB"/>
        </w:rPr>
      </w:r>
      <w:r w:rsidRPr="00877549">
        <w:rPr>
          <w:noProof/>
          <w:lang w:val="en-GB"/>
        </w:rPr>
        <w:fldChar w:fldCharType="separate"/>
      </w:r>
      <w:r w:rsidRPr="00877549">
        <w:rPr>
          <w:noProof/>
          <w:lang w:val="en-GB"/>
        </w:rPr>
        <w:t>13</w:t>
      </w:r>
      <w:r w:rsidRPr="00877549">
        <w:rPr>
          <w:noProof/>
          <w:lang w:val="en-GB"/>
        </w:rPr>
        <w:fldChar w:fldCharType="end"/>
      </w:r>
    </w:p>
    <w:p w:rsidR="00631909" w:rsidRPr="00877549" w:rsidRDefault="00024962">
      <w:pPr>
        <w:pStyle w:val="TM3"/>
        <w:tabs>
          <w:tab w:val="left" w:pos="1674"/>
        </w:tabs>
        <w:rPr>
          <w:rFonts w:ascii="Calibri" w:eastAsia="MS ??" w:hAnsi="Calibri"/>
          <w:noProof/>
          <w:lang w:val="en-GB" w:eastAsia="ja-JP"/>
        </w:rPr>
      </w:pPr>
      <w:r w:rsidRPr="00877549">
        <w:rPr>
          <w:noProof/>
          <w:lang w:val="en-GB"/>
        </w:rPr>
        <w:t>4.2.1</w:t>
      </w:r>
      <w:r w:rsidRPr="00877549">
        <w:rPr>
          <w:rFonts w:ascii="Calibri" w:eastAsia="MS ??" w:hAnsi="Calibri"/>
          <w:noProof/>
          <w:lang w:val="en-GB" w:eastAsia="ja-JP"/>
        </w:rPr>
        <w:tab/>
      </w:r>
      <w:r w:rsidRPr="00877549">
        <w:rPr>
          <w:noProof/>
          <w:lang w:val="en-GB"/>
        </w:rPr>
        <w:t>ESOMPs installed on Maritime and Land platforms</w:t>
      </w:r>
      <w:r w:rsidRPr="00877549">
        <w:rPr>
          <w:noProof/>
          <w:lang w:val="en-GB"/>
        </w:rPr>
        <w:tab/>
      </w:r>
      <w:r w:rsidRPr="00877549">
        <w:rPr>
          <w:noProof/>
          <w:lang w:val="en-GB"/>
        </w:rPr>
        <w:fldChar w:fldCharType="begin"/>
      </w:r>
      <w:r w:rsidRPr="00877549">
        <w:rPr>
          <w:noProof/>
          <w:lang w:val="en-GB"/>
        </w:rPr>
        <w:instrText xml:space="preserve"> PAGEREF _Toc183171039 \h </w:instrText>
      </w:r>
      <w:r w:rsidRPr="00877549">
        <w:rPr>
          <w:noProof/>
          <w:lang w:val="en-GB"/>
        </w:rPr>
      </w:r>
      <w:r w:rsidRPr="00877549">
        <w:rPr>
          <w:noProof/>
          <w:lang w:val="en-GB"/>
        </w:rPr>
        <w:fldChar w:fldCharType="separate"/>
      </w:r>
      <w:r w:rsidRPr="00877549">
        <w:rPr>
          <w:noProof/>
          <w:lang w:val="en-GB"/>
        </w:rPr>
        <w:t>14</w:t>
      </w:r>
      <w:r w:rsidRPr="00877549">
        <w:rPr>
          <w:noProof/>
          <w:lang w:val="en-GB"/>
        </w:rPr>
        <w:fldChar w:fldCharType="end"/>
      </w:r>
    </w:p>
    <w:p w:rsidR="00631909" w:rsidRPr="00877549" w:rsidRDefault="00024962">
      <w:pPr>
        <w:pStyle w:val="TM3"/>
        <w:tabs>
          <w:tab w:val="left" w:pos="1674"/>
        </w:tabs>
        <w:rPr>
          <w:rFonts w:ascii="Calibri" w:eastAsia="MS ??" w:hAnsi="Calibri"/>
          <w:noProof/>
          <w:lang w:val="en-GB" w:eastAsia="ja-JP"/>
        </w:rPr>
      </w:pPr>
      <w:r w:rsidRPr="00877549">
        <w:rPr>
          <w:noProof/>
          <w:lang w:val="en-GB"/>
        </w:rPr>
        <w:t>4.2.2</w:t>
      </w:r>
      <w:r w:rsidRPr="00877549">
        <w:rPr>
          <w:rFonts w:ascii="Calibri" w:eastAsia="MS ??" w:hAnsi="Calibri"/>
          <w:noProof/>
          <w:lang w:val="en-GB" w:eastAsia="ja-JP"/>
        </w:rPr>
        <w:tab/>
      </w:r>
      <w:r w:rsidRPr="00877549">
        <w:rPr>
          <w:noProof/>
          <w:lang w:val="en-GB"/>
        </w:rPr>
        <w:t>Aircraft-mounted ESOMPs</w:t>
      </w:r>
      <w:r w:rsidRPr="00877549">
        <w:rPr>
          <w:noProof/>
          <w:lang w:val="en-GB"/>
        </w:rPr>
        <w:tab/>
      </w:r>
      <w:r w:rsidRPr="00877549">
        <w:rPr>
          <w:noProof/>
          <w:lang w:val="en-GB"/>
        </w:rPr>
        <w:fldChar w:fldCharType="begin"/>
      </w:r>
      <w:r w:rsidRPr="00877549">
        <w:rPr>
          <w:noProof/>
          <w:lang w:val="en-GB"/>
        </w:rPr>
        <w:instrText xml:space="preserve"> PAGEREF _Toc183171040 \h </w:instrText>
      </w:r>
      <w:r w:rsidRPr="00877549">
        <w:rPr>
          <w:noProof/>
          <w:lang w:val="en-GB"/>
        </w:rPr>
      </w:r>
      <w:r w:rsidRPr="00877549">
        <w:rPr>
          <w:noProof/>
          <w:lang w:val="en-GB"/>
        </w:rPr>
        <w:fldChar w:fldCharType="separate"/>
      </w:r>
      <w:r w:rsidRPr="00877549">
        <w:rPr>
          <w:noProof/>
          <w:lang w:val="en-GB"/>
        </w:rPr>
        <w:t>14</w:t>
      </w:r>
      <w:r w:rsidRPr="00877549">
        <w:rPr>
          <w:noProof/>
          <w:lang w:val="en-GB"/>
        </w:rPr>
        <w:fldChar w:fldCharType="end"/>
      </w:r>
    </w:p>
    <w:p w:rsidR="00631909" w:rsidRPr="00877549" w:rsidRDefault="00024962">
      <w:pPr>
        <w:pStyle w:val="TM2"/>
        <w:tabs>
          <w:tab w:val="left" w:pos="934"/>
        </w:tabs>
        <w:rPr>
          <w:rFonts w:ascii="Calibri" w:eastAsia="MS ??" w:hAnsi="Calibri"/>
          <w:noProof/>
          <w:lang w:val="en-GB" w:eastAsia="ja-JP"/>
        </w:rPr>
      </w:pPr>
      <w:r w:rsidRPr="00877549">
        <w:rPr>
          <w:noProof/>
          <w:lang w:val="en-GB"/>
        </w:rPr>
        <w:t>4.3</w:t>
      </w:r>
      <w:r w:rsidRPr="00877549">
        <w:rPr>
          <w:rFonts w:ascii="Calibri" w:eastAsia="MS ??" w:hAnsi="Calibri"/>
          <w:noProof/>
          <w:lang w:val="en-GB" w:eastAsia="ja-JP"/>
        </w:rPr>
        <w:tab/>
      </w:r>
      <w:r w:rsidRPr="00877549">
        <w:rPr>
          <w:noProof/>
          <w:lang w:val="en-GB"/>
        </w:rPr>
        <w:t>ETSI Standards</w:t>
      </w:r>
      <w:r w:rsidRPr="00877549">
        <w:rPr>
          <w:noProof/>
          <w:lang w:val="en-GB"/>
        </w:rPr>
        <w:tab/>
      </w:r>
      <w:r w:rsidRPr="00877549">
        <w:rPr>
          <w:noProof/>
          <w:lang w:val="en-GB"/>
        </w:rPr>
        <w:fldChar w:fldCharType="begin"/>
      </w:r>
      <w:r w:rsidRPr="00877549">
        <w:rPr>
          <w:noProof/>
          <w:lang w:val="en-GB"/>
        </w:rPr>
        <w:instrText xml:space="preserve"> PAGEREF _Toc183171041 \h </w:instrText>
      </w:r>
      <w:r w:rsidRPr="00877549">
        <w:rPr>
          <w:noProof/>
          <w:lang w:val="en-GB"/>
        </w:rPr>
      </w:r>
      <w:r w:rsidRPr="00877549">
        <w:rPr>
          <w:noProof/>
          <w:lang w:val="en-GB"/>
        </w:rPr>
        <w:fldChar w:fldCharType="separate"/>
      </w:r>
      <w:r w:rsidRPr="00877549">
        <w:rPr>
          <w:noProof/>
          <w:lang w:val="en-GB"/>
        </w:rPr>
        <w:t>14</w:t>
      </w:r>
      <w:r w:rsidRPr="00877549">
        <w:rPr>
          <w:noProof/>
          <w:lang w:val="en-GB"/>
        </w:rPr>
        <w:fldChar w:fldCharType="end"/>
      </w:r>
    </w:p>
    <w:p w:rsidR="00631909" w:rsidRPr="00877549" w:rsidRDefault="00024962">
      <w:pPr>
        <w:pStyle w:val="TM1"/>
        <w:tabs>
          <w:tab w:val="clear" w:pos="360"/>
          <w:tab w:val="left" w:pos="373"/>
        </w:tabs>
        <w:rPr>
          <w:rFonts w:ascii="Calibri" w:eastAsia="MS ??" w:hAnsi="Calibri"/>
          <w:b w:val="0"/>
          <w:caps w:val="0"/>
          <w:noProof/>
          <w:lang w:val="en-GB" w:eastAsia="ja-JP"/>
        </w:rPr>
      </w:pPr>
      <w:r w:rsidRPr="00877549">
        <w:rPr>
          <w:noProof/>
          <w:lang w:val="en-GB"/>
        </w:rPr>
        <w:t>5</w:t>
      </w:r>
      <w:r w:rsidRPr="00877549">
        <w:rPr>
          <w:rFonts w:ascii="Calibri" w:eastAsia="MS ??" w:hAnsi="Calibri"/>
          <w:b w:val="0"/>
          <w:caps w:val="0"/>
          <w:noProof/>
          <w:lang w:val="en-GB" w:eastAsia="ja-JP"/>
        </w:rPr>
        <w:tab/>
      </w:r>
      <w:r w:rsidRPr="00877549">
        <w:rPr>
          <w:noProof/>
          <w:lang w:val="en-GB"/>
        </w:rPr>
        <w:t>Potential approaches for ESOMPs in the bands 27.5-30.0 GHz and 17.3-20.2 GHz</w:t>
      </w:r>
      <w:r w:rsidRPr="00877549">
        <w:rPr>
          <w:noProof/>
          <w:lang w:val="en-GB"/>
        </w:rPr>
        <w:tab/>
      </w:r>
      <w:r w:rsidRPr="00877549">
        <w:rPr>
          <w:noProof/>
          <w:lang w:val="en-GB"/>
        </w:rPr>
        <w:fldChar w:fldCharType="begin"/>
      </w:r>
      <w:r w:rsidRPr="00877549">
        <w:rPr>
          <w:noProof/>
          <w:lang w:val="en-GB"/>
        </w:rPr>
        <w:instrText xml:space="preserve"> PAGEREF _Toc183171042 \h </w:instrText>
      </w:r>
      <w:r w:rsidRPr="00877549">
        <w:rPr>
          <w:noProof/>
          <w:lang w:val="en-GB"/>
        </w:rPr>
      </w:r>
      <w:r w:rsidRPr="00877549">
        <w:rPr>
          <w:noProof/>
          <w:lang w:val="en-GB"/>
        </w:rPr>
        <w:fldChar w:fldCharType="separate"/>
      </w:r>
      <w:r w:rsidRPr="00877549">
        <w:rPr>
          <w:noProof/>
          <w:lang w:val="en-GB"/>
        </w:rPr>
        <w:t>15</w:t>
      </w:r>
      <w:r w:rsidRPr="00877549">
        <w:rPr>
          <w:noProof/>
          <w:lang w:val="en-GB"/>
        </w:rPr>
        <w:fldChar w:fldCharType="end"/>
      </w:r>
    </w:p>
    <w:p w:rsidR="00631909" w:rsidRPr="00877549" w:rsidRDefault="00024962">
      <w:pPr>
        <w:pStyle w:val="TM2"/>
        <w:tabs>
          <w:tab w:val="left" w:pos="934"/>
        </w:tabs>
        <w:rPr>
          <w:rFonts w:ascii="Calibri" w:eastAsia="MS ??" w:hAnsi="Calibri"/>
          <w:noProof/>
          <w:lang w:val="en-GB" w:eastAsia="ja-JP"/>
        </w:rPr>
      </w:pPr>
      <w:r w:rsidRPr="00877549">
        <w:rPr>
          <w:noProof/>
          <w:lang w:val="en-GB"/>
        </w:rPr>
        <w:t>5.1</w:t>
      </w:r>
      <w:r w:rsidRPr="00877549">
        <w:rPr>
          <w:rFonts w:ascii="Calibri" w:eastAsia="MS ??" w:hAnsi="Calibri"/>
          <w:noProof/>
          <w:lang w:val="en-GB" w:eastAsia="ja-JP"/>
        </w:rPr>
        <w:tab/>
      </w:r>
      <w:r w:rsidRPr="00877549">
        <w:rPr>
          <w:noProof/>
          <w:lang w:val="en-GB"/>
        </w:rPr>
        <w:t>Treat ESOMPs as MSS (new MSS allocation in FSS band(s))</w:t>
      </w:r>
      <w:r w:rsidRPr="00877549">
        <w:rPr>
          <w:noProof/>
          <w:lang w:val="en-GB"/>
        </w:rPr>
        <w:tab/>
      </w:r>
      <w:r w:rsidRPr="00877549">
        <w:rPr>
          <w:noProof/>
          <w:lang w:val="en-GB"/>
        </w:rPr>
        <w:fldChar w:fldCharType="begin"/>
      </w:r>
      <w:r w:rsidRPr="00877549">
        <w:rPr>
          <w:noProof/>
          <w:lang w:val="en-GB"/>
        </w:rPr>
        <w:instrText xml:space="preserve"> PAGEREF _Toc183171043 \h </w:instrText>
      </w:r>
      <w:r w:rsidRPr="00877549">
        <w:rPr>
          <w:noProof/>
          <w:lang w:val="en-GB"/>
        </w:rPr>
      </w:r>
      <w:r w:rsidRPr="00877549">
        <w:rPr>
          <w:noProof/>
          <w:lang w:val="en-GB"/>
        </w:rPr>
        <w:fldChar w:fldCharType="separate"/>
      </w:r>
      <w:r w:rsidRPr="00877549">
        <w:rPr>
          <w:noProof/>
          <w:lang w:val="en-GB"/>
        </w:rPr>
        <w:t>15</w:t>
      </w:r>
      <w:r w:rsidRPr="00877549">
        <w:rPr>
          <w:noProof/>
          <w:lang w:val="en-GB"/>
        </w:rPr>
        <w:fldChar w:fldCharType="end"/>
      </w:r>
    </w:p>
    <w:p w:rsidR="00631909" w:rsidRPr="00877549" w:rsidRDefault="00024962">
      <w:pPr>
        <w:pStyle w:val="TM2"/>
        <w:tabs>
          <w:tab w:val="left" w:pos="934"/>
        </w:tabs>
        <w:rPr>
          <w:rFonts w:ascii="Calibri" w:eastAsia="MS ??" w:hAnsi="Calibri"/>
          <w:noProof/>
          <w:lang w:val="en-GB" w:eastAsia="ja-JP"/>
        </w:rPr>
      </w:pPr>
      <w:r w:rsidRPr="00877549">
        <w:rPr>
          <w:noProof/>
          <w:lang w:val="en-GB"/>
        </w:rPr>
        <w:t>5.2</w:t>
      </w:r>
      <w:r w:rsidRPr="00877549">
        <w:rPr>
          <w:rFonts w:ascii="Calibri" w:eastAsia="MS ??" w:hAnsi="Calibri"/>
          <w:noProof/>
          <w:lang w:val="en-GB" w:eastAsia="ja-JP"/>
        </w:rPr>
        <w:tab/>
      </w:r>
      <w:r w:rsidRPr="00877549">
        <w:rPr>
          <w:noProof/>
          <w:lang w:val="en-GB"/>
        </w:rPr>
        <w:t>Change definitions of FSS</w:t>
      </w:r>
      <w:r w:rsidRPr="00877549">
        <w:rPr>
          <w:noProof/>
          <w:lang w:val="en-GB"/>
        </w:rPr>
        <w:tab/>
      </w:r>
      <w:r w:rsidRPr="00877549">
        <w:rPr>
          <w:noProof/>
          <w:lang w:val="en-GB"/>
        </w:rPr>
        <w:fldChar w:fldCharType="begin"/>
      </w:r>
      <w:r w:rsidRPr="00877549">
        <w:rPr>
          <w:noProof/>
          <w:lang w:val="en-GB"/>
        </w:rPr>
        <w:instrText xml:space="preserve"> PAGEREF _Toc183171044 \h </w:instrText>
      </w:r>
      <w:r w:rsidRPr="00877549">
        <w:rPr>
          <w:noProof/>
          <w:lang w:val="en-GB"/>
        </w:rPr>
      </w:r>
      <w:r w:rsidRPr="00877549">
        <w:rPr>
          <w:noProof/>
          <w:lang w:val="en-GB"/>
        </w:rPr>
        <w:fldChar w:fldCharType="separate"/>
      </w:r>
      <w:r w:rsidRPr="00877549">
        <w:rPr>
          <w:noProof/>
          <w:lang w:val="en-GB"/>
        </w:rPr>
        <w:t>16</w:t>
      </w:r>
      <w:r w:rsidRPr="00877549">
        <w:rPr>
          <w:noProof/>
          <w:lang w:val="en-GB"/>
        </w:rPr>
        <w:fldChar w:fldCharType="end"/>
      </w:r>
    </w:p>
    <w:p w:rsidR="00631909" w:rsidRPr="00877549" w:rsidRDefault="00024962">
      <w:pPr>
        <w:pStyle w:val="TM2"/>
        <w:tabs>
          <w:tab w:val="left" w:pos="934"/>
        </w:tabs>
        <w:rPr>
          <w:rFonts w:ascii="Calibri" w:eastAsia="MS ??" w:hAnsi="Calibri"/>
          <w:noProof/>
          <w:lang w:val="en-GB" w:eastAsia="ja-JP"/>
        </w:rPr>
      </w:pPr>
      <w:r w:rsidRPr="00877549">
        <w:rPr>
          <w:noProof/>
          <w:lang w:val="en-GB"/>
        </w:rPr>
        <w:t>5.3</w:t>
      </w:r>
      <w:r w:rsidRPr="00877549">
        <w:rPr>
          <w:rFonts w:ascii="Calibri" w:eastAsia="MS ??" w:hAnsi="Calibri"/>
          <w:noProof/>
          <w:lang w:val="en-GB" w:eastAsia="ja-JP"/>
        </w:rPr>
        <w:tab/>
      </w:r>
      <w:r w:rsidRPr="00877549">
        <w:rPr>
          <w:noProof/>
          <w:lang w:val="en-GB"/>
        </w:rPr>
        <w:t>Treat ESOMPs as FSS (ECC Decision)</w:t>
      </w:r>
      <w:r w:rsidRPr="00877549">
        <w:rPr>
          <w:noProof/>
          <w:lang w:val="en-GB"/>
        </w:rPr>
        <w:tab/>
      </w:r>
      <w:r w:rsidRPr="00877549">
        <w:rPr>
          <w:noProof/>
          <w:lang w:val="en-GB"/>
        </w:rPr>
        <w:fldChar w:fldCharType="begin"/>
      </w:r>
      <w:r w:rsidRPr="00877549">
        <w:rPr>
          <w:noProof/>
          <w:lang w:val="en-GB"/>
        </w:rPr>
        <w:instrText xml:space="preserve"> PAGEREF _Toc183171045 \h </w:instrText>
      </w:r>
      <w:r w:rsidRPr="00877549">
        <w:rPr>
          <w:noProof/>
          <w:lang w:val="en-GB"/>
        </w:rPr>
      </w:r>
      <w:r w:rsidRPr="00877549">
        <w:rPr>
          <w:noProof/>
          <w:lang w:val="en-GB"/>
        </w:rPr>
        <w:fldChar w:fldCharType="separate"/>
      </w:r>
      <w:r w:rsidRPr="00877549">
        <w:rPr>
          <w:noProof/>
          <w:lang w:val="en-GB"/>
        </w:rPr>
        <w:t>16</w:t>
      </w:r>
      <w:r w:rsidRPr="00877549">
        <w:rPr>
          <w:noProof/>
          <w:lang w:val="en-GB"/>
        </w:rPr>
        <w:fldChar w:fldCharType="end"/>
      </w:r>
    </w:p>
    <w:p w:rsidR="00631909" w:rsidRPr="00877549" w:rsidRDefault="00024962">
      <w:pPr>
        <w:pStyle w:val="TM1"/>
        <w:tabs>
          <w:tab w:val="clear" w:pos="360"/>
          <w:tab w:val="left" w:pos="373"/>
        </w:tabs>
        <w:rPr>
          <w:rFonts w:ascii="Calibri" w:eastAsia="MS ??" w:hAnsi="Calibri"/>
          <w:b w:val="0"/>
          <w:caps w:val="0"/>
          <w:noProof/>
          <w:lang w:val="en-GB" w:eastAsia="ja-JP"/>
        </w:rPr>
      </w:pPr>
      <w:r w:rsidRPr="00877549">
        <w:rPr>
          <w:noProof/>
          <w:lang w:val="en-GB"/>
        </w:rPr>
        <w:t>6</w:t>
      </w:r>
      <w:r w:rsidRPr="00877549">
        <w:rPr>
          <w:rFonts w:ascii="Calibri" w:eastAsia="MS ??" w:hAnsi="Calibri"/>
          <w:b w:val="0"/>
          <w:caps w:val="0"/>
          <w:noProof/>
          <w:lang w:val="en-GB" w:eastAsia="ja-JP"/>
        </w:rPr>
        <w:tab/>
      </w:r>
      <w:r w:rsidRPr="00877549">
        <w:rPr>
          <w:noProof/>
          <w:lang w:val="en-GB"/>
        </w:rPr>
        <w:t>Summary of work conducted within ITU on ESOMPs in the 27.5-30.0 GHz and 17.3-20.2 GHz bands</w:t>
      </w:r>
      <w:r w:rsidRPr="00877549">
        <w:rPr>
          <w:noProof/>
          <w:lang w:val="en-GB"/>
        </w:rPr>
        <w:tab/>
      </w:r>
      <w:r w:rsidRPr="00877549">
        <w:rPr>
          <w:noProof/>
          <w:lang w:val="en-GB"/>
        </w:rPr>
        <w:fldChar w:fldCharType="begin"/>
      </w:r>
      <w:r w:rsidRPr="00877549">
        <w:rPr>
          <w:noProof/>
          <w:lang w:val="en-GB"/>
        </w:rPr>
        <w:instrText xml:space="preserve"> PAGEREF _Toc183171046 \h </w:instrText>
      </w:r>
      <w:r w:rsidRPr="00877549">
        <w:rPr>
          <w:noProof/>
          <w:lang w:val="en-GB"/>
        </w:rPr>
      </w:r>
      <w:r w:rsidRPr="00877549">
        <w:rPr>
          <w:noProof/>
          <w:lang w:val="en-GB"/>
        </w:rPr>
        <w:fldChar w:fldCharType="separate"/>
      </w:r>
      <w:r w:rsidRPr="00877549">
        <w:rPr>
          <w:noProof/>
          <w:lang w:val="en-GB"/>
        </w:rPr>
        <w:t>17</w:t>
      </w:r>
      <w:r w:rsidRPr="00877549">
        <w:rPr>
          <w:noProof/>
          <w:lang w:val="en-GB"/>
        </w:rPr>
        <w:fldChar w:fldCharType="end"/>
      </w:r>
    </w:p>
    <w:p w:rsidR="00631909" w:rsidRPr="00877549" w:rsidRDefault="00024962">
      <w:pPr>
        <w:pStyle w:val="TM1"/>
        <w:tabs>
          <w:tab w:val="clear" w:pos="360"/>
          <w:tab w:val="left" w:pos="373"/>
        </w:tabs>
        <w:rPr>
          <w:rFonts w:ascii="Calibri" w:eastAsia="MS ??" w:hAnsi="Calibri"/>
          <w:b w:val="0"/>
          <w:caps w:val="0"/>
          <w:noProof/>
          <w:lang w:val="en-GB" w:eastAsia="ja-JP"/>
        </w:rPr>
      </w:pPr>
      <w:r w:rsidRPr="00877549">
        <w:rPr>
          <w:noProof/>
          <w:lang w:val="en-GB"/>
        </w:rPr>
        <w:t>7</w:t>
      </w:r>
      <w:r w:rsidRPr="00877549">
        <w:rPr>
          <w:rFonts w:ascii="Calibri" w:eastAsia="MS ??" w:hAnsi="Calibri"/>
          <w:b w:val="0"/>
          <w:caps w:val="0"/>
          <w:noProof/>
          <w:lang w:val="en-GB" w:eastAsia="ja-JP"/>
        </w:rPr>
        <w:tab/>
      </w:r>
      <w:r w:rsidRPr="00877549">
        <w:rPr>
          <w:noProof/>
          <w:lang w:val="en-GB"/>
        </w:rPr>
        <w:t>Cross-border coordination</w:t>
      </w:r>
      <w:r w:rsidRPr="00877549">
        <w:rPr>
          <w:noProof/>
          <w:lang w:val="en-GB"/>
        </w:rPr>
        <w:tab/>
      </w:r>
      <w:r w:rsidRPr="00877549">
        <w:rPr>
          <w:noProof/>
          <w:lang w:val="en-GB"/>
        </w:rPr>
        <w:fldChar w:fldCharType="begin"/>
      </w:r>
      <w:r w:rsidRPr="00877549">
        <w:rPr>
          <w:noProof/>
          <w:lang w:val="en-GB"/>
        </w:rPr>
        <w:instrText xml:space="preserve"> PAGEREF _Toc183171047 \h </w:instrText>
      </w:r>
      <w:r w:rsidRPr="00877549">
        <w:rPr>
          <w:noProof/>
          <w:lang w:val="en-GB"/>
        </w:rPr>
      </w:r>
      <w:r w:rsidRPr="00877549">
        <w:rPr>
          <w:noProof/>
          <w:lang w:val="en-GB"/>
        </w:rPr>
        <w:fldChar w:fldCharType="separate"/>
      </w:r>
      <w:r w:rsidRPr="00877549">
        <w:rPr>
          <w:noProof/>
          <w:lang w:val="en-GB"/>
        </w:rPr>
        <w:t>18</w:t>
      </w:r>
      <w:r w:rsidRPr="00877549">
        <w:rPr>
          <w:noProof/>
          <w:lang w:val="en-GB"/>
        </w:rPr>
        <w:fldChar w:fldCharType="end"/>
      </w:r>
    </w:p>
    <w:p w:rsidR="00631909" w:rsidRPr="00877549" w:rsidRDefault="00024962">
      <w:pPr>
        <w:pStyle w:val="TM2"/>
        <w:tabs>
          <w:tab w:val="left" w:pos="934"/>
        </w:tabs>
        <w:rPr>
          <w:rFonts w:ascii="Calibri" w:eastAsia="MS ??" w:hAnsi="Calibri"/>
          <w:noProof/>
          <w:lang w:val="en-GB" w:eastAsia="ja-JP"/>
        </w:rPr>
      </w:pPr>
      <w:r w:rsidRPr="00877549">
        <w:rPr>
          <w:noProof/>
          <w:lang w:val="en-GB"/>
        </w:rPr>
        <w:t>7.1</w:t>
      </w:r>
      <w:r w:rsidRPr="00877549">
        <w:rPr>
          <w:rFonts w:ascii="Calibri" w:eastAsia="MS ??" w:hAnsi="Calibri"/>
          <w:noProof/>
          <w:lang w:val="en-GB" w:eastAsia="ja-JP"/>
        </w:rPr>
        <w:tab/>
      </w:r>
      <w:r w:rsidRPr="00877549">
        <w:rPr>
          <w:noProof/>
          <w:lang w:val="en-GB"/>
        </w:rPr>
        <w:t>Use of Recommendation ITU-R SF.1707 to address coordination of ESOMP  use in one country with FS systems in an adjacent country</w:t>
      </w:r>
      <w:r w:rsidRPr="00877549">
        <w:rPr>
          <w:noProof/>
          <w:lang w:val="en-GB"/>
        </w:rPr>
        <w:tab/>
      </w:r>
      <w:r w:rsidRPr="00877549">
        <w:rPr>
          <w:noProof/>
          <w:lang w:val="en-GB"/>
        </w:rPr>
        <w:fldChar w:fldCharType="begin"/>
      </w:r>
      <w:r w:rsidRPr="00877549">
        <w:rPr>
          <w:noProof/>
          <w:lang w:val="en-GB"/>
        </w:rPr>
        <w:instrText xml:space="preserve"> PAGEREF _Toc183171048 \h </w:instrText>
      </w:r>
      <w:r w:rsidRPr="00877549">
        <w:rPr>
          <w:noProof/>
          <w:lang w:val="en-GB"/>
        </w:rPr>
      </w:r>
      <w:r w:rsidRPr="00877549">
        <w:rPr>
          <w:noProof/>
          <w:lang w:val="en-GB"/>
        </w:rPr>
        <w:fldChar w:fldCharType="separate"/>
      </w:r>
      <w:r w:rsidRPr="00877549">
        <w:rPr>
          <w:noProof/>
          <w:lang w:val="en-GB"/>
        </w:rPr>
        <w:t>18</w:t>
      </w:r>
      <w:r w:rsidRPr="00877549">
        <w:rPr>
          <w:noProof/>
          <w:lang w:val="en-GB"/>
        </w:rPr>
        <w:fldChar w:fldCharType="end"/>
      </w:r>
    </w:p>
    <w:p w:rsidR="00631909" w:rsidRPr="00877549" w:rsidRDefault="00024962">
      <w:pPr>
        <w:pStyle w:val="TM1"/>
        <w:tabs>
          <w:tab w:val="clear" w:pos="360"/>
          <w:tab w:val="left" w:pos="373"/>
        </w:tabs>
        <w:rPr>
          <w:rFonts w:ascii="Calibri" w:eastAsia="MS ??" w:hAnsi="Calibri"/>
          <w:b w:val="0"/>
          <w:caps w:val="0"/>
          <w:noProof/>
          <w:lang w:val="en-GB" w:eastAsia="ja-JP"/>
        </w:rPr>
      </w:pPr>
      <w:r w:rsidRPr="00877549">
        <w:rPr>
          <w:noProof/>
          <w:lang w:val="en-GB"/>
        </w:rPr>
        <w:t>8</w:t>
      </w:r>
      <w:r w:rsidRPr="00877549">
        <w:rPr>
          <w:rFonts w:ascii="Calibri" w:eastAsia="MS ??" w:hAnsi="Calibri"/>
          <w:b w:val="0"/>
          <w:caps w:val="0"/>
          <w:noProof/>
          <w:lang w:val="en-GB" w:eastAsia="ja-JP"/>
        </w:rPr>
        <w:tab/>
      </w:r>
      <w:r w:rsidRPr="00877549">
        <w:rPr>
          <w:noProof/>
          <w:lang w:val="en-GB"/>
        </w:rPr>
        <w:t>Conclusions</w:t>
      </w:r>
      <w:r w:rsidRPr="00877549">
        <w:rPr>
          <w:noProof/>
          <w:lang w:val="en-GB"/>
        </w:rPr>
        <w:tab/>
      </w:r>
      <w:r w:rsidRPr="00877549">
        <w:rPr>
          <w:noProof/>
          <w:lang w:val="en-GB"/>
        </w:rPr>
        <w:fldChar w:fldCharType="begin"/>
      </w:r>
      <w:r w:rsidRPr="00877549">
        <w:rPr>
          <w:noProof/>
          <w:lang w:val="en-GB"/>
        </w:rPr>
        <w:instrText xml:space="preserve"> PAGEREF _Toc183171049 \h </w:instrText>
      </w:r>
      <w:r w:rsidRPr="00877549">
        <w:rPr>
          <w:noProof/>
          <w:lang w:val="en-GB"/>
        </w:rPr>
      </w:r>
      <w:r w:rsidRPr="00877549">
        <w:rPr>
          <w:noProof/>
          <w:lang w:val="en-GB"/>
        </w:rPr>
        <w:fldChar w:fldCharType="separate"/>
      </w:r>
      <w:r w:rsidRPr="00877549">
        <w:rPr>
          <w:noProof/>
          <w:lang w:val="en-GB"/>
        </w:rPr>
        <w:t>19</w:t>
      </w:r>
      <w:r w:rsidRPr="00877549">
        <w:rPr>
          <w:noProof/>
          <w:lang w:val="en-GB"/>
        </w:rPr>
        <w:fldChar w:fldCharType="end"/>
      </w:r>
    </w:p>
    <w:p w:rsidR="00631909" w:rsidRPr="00877549" w:rsidRDefault="00024962">
      <w:pPr>
        <w:pStyle w:val="TM1"/>
        <w:rPr>
          <w:rFonts w:ascii="Calibri" w:eastAsia="MS ??" w:hAnsi="Calibri"/>
          <w:b w:val="0"/>
          <w:caps w:val="0"/>
          <w:noProof/>
          <w:lang w:val="en-GB" w:eastAsia="ja-JP"/>
        </w:rPr>
      </w:pPr>
      <w:r w:rsidRPr="00877549">
        <w:rPr>
          <w:noProof/>
          <w:lang w:val="en-GB"/>
        </w:rPr>
        <w:t>ANNEX 1: heading</w:t>
      </w:r>
      <w:r w:rsidRPr="00877549">
        <w:rPr>
          <w:noProof/>
          <w:lang w:val="en-GB"/>
        </w:rPr>
        <w:tab/>
      </w:r>
      <w:r w:rsidRPr="00877549">
        <w:rPr>
          <w:noProof/>
          <w:lang w:val="en-GB"/>
        </w:rPr>
        <w:fldChar w:fldCharType="begin"/>
      </w:r>
      <w:r w:rsidRPr="00877549">
        <w:rPr>
          <w:noProof/>
          <w:lang w:val="en-GB"/>
        </w:rPr>
        <w:instrText xml:space="preserve"> PAGEREF _Toc183171050 \h </w:instrText>
      </w:r>
      <w:r w:rsidRPr="00877549">
        <w:rPr>
          <w:noProof/>
          <w:lang w:val="en-GB"/>
        </w:rPr>
      </w:r>
      <w:r w:rsidRPr="00877549">
        <w:rPr>
          <w:noProof/>
          <w:lang w:val="en-GB"/>
        </w:rPr>
        <w:fldChar w:fldCharType="separate"/>
      </w:r>
      <w:r w:rsidRPr="00877549">
        <w:rPr>
          <w:noProof/>
          <w:lang w:val="en-GB"/>
        </w:rPr>
        <w:t>20</w:t>
      </w:r>
      <w:r w:rsidRPr="00877549">
        <w:rPr>
          <w:noProof/>
          <w:lang w:val="en-GB"/>
        </w:rPr>
        <w:fldChar w:fldCharType="end"/>
      </w:r>
    </w:p>
    <w:p w:rsidR="00631909" w:rsidRPr="00877549" w:rsidRDefault="00024962">
      <w:pPr>
        <w:pStyle w:val="TM1"/>
        <w:rPr>
          <w:rFonts w:ascii="Calibri" w:eastAsia="MS ??" w:hAnsi="Calibri"/>
          <w:b w:val="0"/>
          <w:caps w:val="0"/>
          <w:noProof/>
          <w:lang w:val="en-GB" w:eastAsia="ja-JP"/>
        </w:rPr>
      </w:pPr>
      <w:r w:rsidRPr="00877549">
        <w:rPr>
          <w:noProof/>
          <w:lang w:val="en-GB"/>
        </w:rPr>
        <w:t>ANNEX 2: List of reference</w:t>
      </w:r>
      <w:r w:rsidRPr="00877549">
        <w:rPr>
          <w:noProof/>
          <w:lang w:val="en-GB"/>
        </w:rPr>
        <w:tab/>
      </w:r>
      <w:r w:rsidRPr="00877549">
        <w:rPr>
          <w:noProof/>
          <w:lang w:val="en-GB"/>
        </w:rPr>
        <w:fldChar w:fldCharType="begin"/>
      </w:r>
      <w:r w:rsidRPr="00877549">
        <w:rPr>
          <w:noProof/>
          <w:lang w:val="en-GB"/>
        </w:rPr>
        <w:instrText xml:space="preserve"> PAGEREF _Toc183171051 \h </w:instrText>
      </w:r>
      <w:r w:rsidRPr="00877549">
        <w:rPr>
          <w:noProof/>
          <w:lang w:val="en-GB"/>
        </w:rPr>
      </w:r>
      <w:r w:rsidRPr="00877549">
        <w:rPr>
          <w:noProof/>
          <w:lang w:val="en-GB"/>
        </w:rPr>
        <w:fldChar w:fldCharType="separate"/>
      </w:r>
      <w:r w:rsidRPr="00877549">
        <w:rPr>
          <w:noProof/>
          <w:lang w:val="en-GB"/>
        </w:rPr>
        <w:t>20</w:t>
      </w:r>
      <w:r w:rsidRPr="00877549">
        <w:rPr>
          <w:noProof/>
          <w:lang w:val="en-GB"/>
        </w:rPr>
        <w:fldChar w:fldCharType="end"/>
      </w:r>
    </w:p>
    <w:p w:rsidR="00631909" w:rsidRPr="00877549" w:rsidRDefault="00024962" w:rsidP="00A10264">
      <w:pPr>
        <w:rPr>
          <w:lang w:val="en-GB"/>
        </w:rPr>
      </w:pPr>
      <w:r w:rsidRPr="00877549">
        <w:rPr>
          <w:caps/>
          <w:lang w:val="en-GB"/>
        </w:rPr>
        <w:fldChar w:fldCharType="end"/>
      </w:r>
    </w:p>
    <w:p w:rsidR="00631909" w:rsidRPr="00877549" w:rsidRDefault="00024962" w:rsidP="00A10264">
      <w:pPr>
        <w:rPr>
          <w:lang w:val="en-GB"/>
        </w:rPr>
      </w:pPr>
      <w:r w:rsidRPr="00877549">
        <w:rPr>
          <w:lang w:val="en-GB"/>
        </w:rPr>
        <w:br w:type="page"/>
      </w:r>
    </w:p>
    <w:p w:rsidR="00631909" w:rsidRPr="00877549" w:rsidRDefault="0098769E" w:rsidP="00A10264">
      <w:pPr>
        <w:rPr>
          <w:b/>
          <w:color w:val="FFFFFF"/>
          <w:szCs w:val="20"/>
          <w:lang w:val="en-GB"/>
        </w:rPr>
      </w:pPr>
      <w:r>
        <w:rPr>
          <w:noProof/>
          <w:lang w:val="fr-FR" w:eastAsia="fr-FR"/>
        </w:rPr>
        <w:lastRenderedPageBreak/>
        <mc:AlternateContent>
          <mc:Choice Requires="wps">
            <w:drawing>
              <wp:anchor distT="0" distB="0" distL="114300" distR="114300" simplePos="0" relativeHeight="251658752" behindDoc="1" locked="0" layoutInCell="1" allowOverlap="1">
                <wp:simplePos x="0" y="0"/>
                <wp:positionH relativeFrom="page">
                  <wp:posOffset>-79375</wp:posOffset>
                </wp:positionH>
                <wp:positionV relativeFrom="page">
                  <wp:posOffset>914400</wp:posOffset>
                </wp:positionV>
                <wp:extent cx="7560310" cy="720090"/>
                <wp:effectExtent l="0" t="0" r="2540" b="3810"/>
                <wp:wrapNone/>
                <wp:docPr id="1" name="Rectangle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560310" cy="720090"/>
                        </a:xfrm>
                        <a:prstGeom prst="rect">
                          <a:avLst/>
                        </a:prstGeom>
                        <a:solidFill>
                          <a:srgbClr val="B0A69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2" o:spid="_x0000_s1026" style="position:absolute;margin-left:-6.25pt;margin-top:1in;width:595.3pt;height:56.7pt;z-index:-2516577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" fillcolor="#b0a696" stroked="f">
                <w10:wrap anchorx="page" anchory="page"/>
              </v:rect>
            </w:pict>
          </mc:Fallback>
        </mc:AlternateContent>
      </w:r>
    </w:p>
    <w:p w:rsidR="00631909" w:rsidRPr="00877549" w:rsidRDefault="00024962" w:rsidP="00A10264">
      <w:pPr>
        <w:rPr>
          <w:b/>
          <w:color w:val="FFFFFF"/>
          <w:szCs w:val="20"/>
          <w:lang w:val="en-GB"/>
        </w:rPr>
      </w:pPr>
      <w:r w:rsidRPr="00877549">
        <w:rPr>
          <w:b/>
          <w:color w:val="FFFFFF"/>
          <w:szCs w:val="20"/>
          <w:lang w:val="en-GB"/>
        </w:rPr>
        <w:t>LIST OF ABBREVIATIONS</w:t>
      </w:r>
    </w:p>
    <w:p w:rsidR="00631909" w:rsidRPr="00877549" w:rsidRDefault="00631909" w:rsidP="00A10264">
      <w:pPr>
        <w:rPr>
          <w:b/>
          <w:color w:val="FFFFFF"/>
          <w:szCs w:val="20"/>
          <w:lang w:val="en-GB"/>
        </w:rPr>
      </w:pPr>
    </w:p>
    <w:p w:rsidR="00631909" w:rsidRPr="00877549" w:rsidRDefault="00631909" w:rsidP="00A10264">
      <w:pPr>
        <w:rPr>
          <w:b/>
          <w:color w:val="FFFFFF"/>
          <w:szCs w:val="20"/>
          <w:lang w:val="en-GB"/>
        </w:rPr>
      </w:pPr>
    </w:p>
    <w:p w:rsidR="00631909" w:rsidRPr="00877549" w:rsidRDefault="00631909" w:rsidP="00A10264">
      <w:pPr>
        <w:rPr>
          <w:lang w:val="en-GB"/>
        </w:rPr>
      </w:pPr>
    </w:p>
    <w:p w:rsidR="00631909" w:rsidRPr="00877549" w:rsidRDefault="00631909" w:rsidP="00A10264">
      <w:pPr>
        <w:rPr>
          <w:lang w:val="en-GB"/>
        </w:rPr>
      </w:pPr>
    </w:p>
    <w:tbl>
      <w:tblPr>
        <w:tblW w:w="0" w:type="auto"/>
        <w:tblCellMar>
          <w:top w:w="11" w:type="dxa"/>
          <w:bottom w:w="11" w:type="dxa"/>
        </w:tblCellMar>
        <w:tblLook w:val="01E0" w:firstRow="1" w:lastRow="1" w:firstColumn="1" w:lastColumn="1" w:noHBand="0" w:noVBand="0"/>
      </w:tblPr>
      <w:tblGrid>
        <w:gridCol w:w="2088"/>
        <w:gridCol w:w="7767"/>
      </w:tblGrid>
      <w:tr w:rsidR="00631909" w:rsidRPr="00207DBD">
        <w:trPr>
          <w:trHeight w:val="76"/>
        </w:trPr>
        <w:tc>
          <w:tcPr>
            <w:tcW w:w="2088" w:type="dxa"/>
          </w:tcPr>
          <w:p w:rsidR="00631909" w:rsidRPr="00877549" w:rsidRDefault="00024962" w:rsidP="00A10264">
            <w:pPr>
              <w:spacing w:line="288" w:lineRule="auto"/>
              <w:rPr>
                <w:b/>
                <w:color w:val="D2232A"/>
                <w:sz w:val="22"/>
                <w:szCs w:val="22"/>
                <w:lang w:val="en-GB"/>
              </w:rPr>
            </w:pPr>
            <w:r w:rsidRPr="00877549">
              <w:rPr>
                <w:b/>
                <w:color w:val="D2232A"/>
                <w:lang w:val="en-GB"/>
              </w:rPr>
              <w:t>Abbreviation</w:t>
            </w:r>
          </w:p>
        </w:tc>
        <w:tc>
          <w:tcPr>
            <w:tcW w:w="7767" w:type="dxa"/>
          </w:tcPr>
          <w:p w:rsidR="00631909" w:rsidRPr="00877549" w:rsidRDefault="00024962" w:rsidP="00B146D3">
            <w:pPr>
              <w:spacing w:line="288" w:lineRule="auto"/>
              <w:rPr>
                <w:b/>
                <w:color w:val="D2232A"/>
                <w:lang w:val="en-GB"/>
              </w:rPr>
            </w:pPr>
            <w:r w:rsidRPr="00877549">
              <w:rPr>
                <w:b/>
                <w:color w:val="D2232A"/>
                <w:lang w:val="en-GB"/>
              </w:rPr>
              <w:t>Explanation</w:t>
            </w:r>
          </w:p>
        </w:tc>
      </w:tr>
      <w:tr w:rsidR="0020388E" w:rsidRPr="00207DBD">
        <w:tc>
          <w:tcPr>
            <w:tcW w:w="2088" w:type="dxa"/>
          </w:tcPr>
          <w:p w:rsidR="0020388E" w:rsidRPr="00877549" w:rsidRDefault="00024962" w:rsidP="00A10264">
            <w:pPr>
              <w:spacing w:line="288" w:lineRule="auto"/>
              <w:rPr>
                <w:b/>
                <w:lang w:val="en-GB"/>
              </w:rPr>
            </w:pPr>
            <w:r w:rsidRPr="00877549">
              <w:rPr>
                <w:b/>
                <w:lang w:val="en-GB"/>
              </w:rPr>
              <w:t>AES</w:t>
            </w:r>
          </w:p>
        </w:tc>
        <w:tc>
          <w:tcPr>
            <w:tcW w:w="7767" w:type="dxa"/>
          </w:tcPr>
          <w:p w:rsidR="0020388E" w:rsidRPr="00877549" w:rsidRDefault="00024962" w:rsidP="00097FC3">
            <w:pPr>
              <w:spacing w:line="288" w:lineRule="auto"/>
              <w:rPr>
                <w:lang w:val="en-GB"/>
              </w:rPr>
            </w:pPr>
            <w:r w:rsidRPr="00877549">
              <w:rPr>
                <w:lang w:val="en-GB"/>
              </w:rPr>
              <w:t>Aircraft earth station</w:t>
            </w:r>
          </w:p>
        </w:tc>
      </w:tr>
      <w:tr w:rsidR="00700AA5" w:rsidRPr="00207DBD">
        <w:tc>
          <w:tcPr>
            <w:tcW w:w="2088" w:type="dxa"/>
          </w:tcPr>
          <w:p w:rsidR="00700AA5" w:rsidRPr="00877549" w:rsidRDefault="00024962" w:rsidP="00A10264">
            <w:pPr>
              <w:spacing w:line="288" w:lineRule="auto"/>
              <w:rPr>
                <w:b/>
                <w:lang w:val="en-GB"/>
              </w:rPr>
            </w:pPr>
            <w:r w:rsidRPr="00877549">
              <w:rPr>
                <w:b/>
                <w:lang w:val="en-GB"/>
              </w:rPr>
              <w:t>AMSS</w:t>
            </w:r>
          </w:p>
        </w:tc>
        <w:tc>
          <w:tcPr>
            <w:tcW w:w="7767" w:type="dxa"/>
          </w:tcPr>
          <w:p w:rsidR="00207DBD" w:rsidRPr="00877549" w:rsidRDefault="00024962">
            <w:pPr>
              <w:spacing w:line="288" w:lineRule="auto"/>
              <w:rPr>
                <w:szCs w:val="20"/>
                <w:lang w:val="en-GB"/>
              </w:rPr>
            </w:pPr>
            <w:r w:rsidRPr="00877549">
              <w:rPr>
                <w:lang w:val="en-GB"/>
              </w:rPr>
              <w:t>Aeronautical mobile-satellite service</w:t>
            </w:r>
          </w:p>
        </w:tc>
      </w:tr>
      <w:tr w:rsidR="00631909" w:rsidRPr="00207DBD">
        <w:tc>
          <w:tcPr>
            <w:tcW w:w="2088" w:type="dxa"/>
          </w:tcPr>
          <w:p w:rsidR="00631909" w:rsidRPr="00877549" w:rsidRDefault="00024962" w:rsidP="00A10264">
            <w:pPr>
              <w:spacing w:line="288" w:lineRule="auto"/>
              <w:rPr>
                <w:b/>
                <w:lang w:val="en-GB"/>
              </w:rPr>
            </w:pPr>
            <w:r w:rsidRPr="00877549">
              <w:rPr>
                <w:b/>
                <w:lang w:val="en-GB"/>
              </w:rPr>
              <w:t>CEPT</w:t>
            </w:r>
          </w:p>
        </w:tc>
        <w:tc>
          <w:tcPr>
            <w:tcW w:w="7767" w:type="dxa"/>
          </w:tcPr>
          <w:p w:rsidR="00631909" w:rsidRPr="00877549" w:rsidRDefault="00024962" w:rsidP="00A10264">
            <w:pPr>
              <w:spacing w:line="288" w:lineRule="auto"/>
              <w:rPr>
                <w:szCs w:val="20"/>
                <w:lang w:val="en-GB"/>
              </w:rPr>
            </w:pPr>
            <w:r w:rsidRPr="00877549">
              <w:rPr>
                <w:szCs w:val="20"/>
                <w:lang w:val="en-GB"/>
              </w:rPr>
              <w:t>European Conference of Postal and Telecommunications Administrations</w:t>
            </w:r>
          </w:p>
        </w:tc>
      </w:tr>
      <w:tr w:rsidR="0020388E" w:rsidRPr="00207DBD">
        <w:tc>
          <w:tcPr>
            <w:tcW w:w="2088" w:type="dxa"/>
          </w:tcPr>
          <w:p w:rsidR="0020388E" w:rsidRPr="00877549" w:rsidRDefault="00024962" w:rsidP="00A10264">
            <w:pPr>
              <w:spacing w:line="288" w:lineRule="auto"/>
              <w:rPr>
                <w:b/>
                <w:lang w:val="en-GB"/>
              </w:rPr>
            </w:pPr>
            <w:r w:rsidRPr="00877549">
              <w:rPr>
                <w:b/>
                <w:lang w:val="en-GB"/>
              </w:rPr>
              <w:t>CPM</w:t>
            </w:r>
          </w:p>
        </w:tc>
        <w:tc>
          <w:tcPr>
            <w:tcW w:w="7767" w:type="dxa"/>
          </w:tcPr>
          <w:p w:rsidR="0020388E" w:rsidRPr="00207DBD" w:rsidRDefault="00F8579A" w:rsidP="00A10264">
            <w:pPr>
              <w:pStyle w:val="ECCParagraph"/>
              <w:spacing w:after="0" w:line="288" w:lineRule="auto"/>
              <w:jc w:val="left"/>
            </w:pPr>
            <w:r>
              <w:t>Conference preparatory meeting (ITU)</w:t>
            </w:r>
          </w:p>
        </w:tc>
      </w:tr>
      <w:tr w:rsidR="00631909" w:rsidRPr="00207DBD">
        <w:tc>
          <w:tcPr>
            <w:tcW w:w="2088" w:type="dxa"/>
          </w:tcPr>
          <w:p w:rsidR="00631909" w:rsidRPr="00877549" w:rsidRDefault="00024962" w:rsidP="00A10264">
            <w:pPr>
              <w:spacing w:line="288" w:lineRule="auto"/>
              <w:rPr>
                <w:b/>
                <w:lang w:val="en-GB"/>
              </w:rPr>
            </w:pPr>
            <w:r w:rsidRPr="00877549">
              <w:rPr>
                <w:b/>
                <w:lang w:val="en-GB"/>
              </w:rPr>
              <w:t>ECC</w:t>
            </w:r>
          </w:p>
        </w:tc>
        <w:tc>
          <w:tcPr>
            <w:tcW w:w="7767" w:type="dxa"/>
          </w:tcPr>
          <w:p w:rsidR="00631909" w:rsidRPr="00207DBD" w:rsidRDefault="00F8579A" w:rsidP="00A10264">
            <w:pPr>
              <w:pStyle w:val="ECCParagraph"/>
              <w:spacing w:after="0" w:line="288" w:lineRule="auto"/>
              <w:jc w:val="left"/>
              <w:rPr>
                <w:szCs w:val="20"/>
              </w:rPr>
            </w:pPr>
            <w:r>
              <w:t>Electronic Communications Committee</w:t>
            </w:r>
          </w:p>
        </w:tc>
      </w:tr>
      <w:tr w:rsidR="00FE13B6" w:rsidRPr="00207DBD">
        <w:tc>
          <w:tcPr>
            <w:tcW w:w="2088" w:type="dxa"/>
          </w:tcPr>
          <w:p w:rsidR="00FE13B6" w:rsidRPr="00877549" w:rsidRDefault="00024962" w:rsidP="00A10264">
            <w:pPr>
              <w:spacing w:line="288" w:lineRule="auto"/>
              <w:rPr>
                <w:b/>
                <w:lang w:val="en-GB"/>
              </w:rPr>
            </w:pPr>
            <w:r w:rsidRPr="00877549">
              <w:rPr>
                <w:b/>
                <w:lang w:val="en-GB"/>
              </w:rPr>
              <w:t>ESOMP</w:t>
            </w:r>
          </w:p>
        </w:tc>
        <w:tc>
          <w:tcPr>
            <w:tcW w:w="7767" w:type="dxa"/>
          </w:tcPr>
          <w:p w:rsidR="00207DBD" w:rsidRPr="00207DBD" w:rsidRDefault="00F8579A">
            <w:pPr>
              <w:pStyle w:val="ECCParagraph"/>
              <w:spacing w:after="0" w:line="288" w:lineRule="auto"/>
              <w:jc w:val="left"/>
            </w:pPr>
            <w:r>
              <w:t>Earth station on mobile platform</w:t>
            </w:r>
            <w:bookmarkStart w:id="6" w:name="_GoBack"/>
            <w:bookmarkEnd w:id="6"/>
          </w:p>
        </w:tc>
      </w:tr>
      <w:tr w:rsidR="0020388E" w:rsidRPr="00207DBD">
        <w:tc>
          <w:tcPr>
            <w:tcW w:w="2088" w:type="dxa"/>
          </w:tcPr>
          <w:p w:rsidR="0020388E" w:rsidRPr="00877549" w:rsidRDefault="00024962" w:rsidP="00A10264">
            <w:pPr>
              <w:spacing w:line="288" w:lineRule="auto"/>
              <w:rPr>
                <w:b/>
                <w:lang w:val="en-GB"/>
              </w:rPr>
            </w:pPr>
            <w:r w:rsidRPr="00877549">
              <w:rPr>
                <w:b/>
                <w:lang w:val="en-GB"/>
              </w:rPr>
              <w:t>ESV</w:t>
            </w:r>
          </w:p>
        </w:tc>
        <w:tc>
          <w:tcPr>
            <w:tcW w:w="7767" w:type="dxa"/>
          </w:tcPr>
          <w:p w:rsidR="00207DBD" w:rsidRPr="00207DBD" w:rsidRDefault="00F8579A">
            <w:pPr>
              <w:pStyle w:val="ECCParagraph"/>
              <w:spacing w:after="0" w:line="288" w:lineRule="auto"/>
              <w:jc w:val="left"/>
            </w:pPr>
            <w:r>
              <w:t>Earth station on board vessel</w:t>
            </w:r>
          </w:p>
        </w:tc>
      </w:tr>
      <w:tr w:rsidR="0020388E" w:rsidRPr="00207DBD">
        <w:tc>
          <w:tcPr>
            <w:tcW w:w="2088" w:type="dxa"/>
          </w:tcPr>
          <w:p w:rsidR="0020388E" w:rsidRPr="00877549" w:rsidRDefault="00024962" w:rsidP="00A10264">
            <w:pPr>
              <w:spacing w:line="288" w:lineRule="auto"/>
              <w:rPr>
                <w:b/>
                <w:lang w:val="en-GB"/>
              </w:rPr>
            </w:pPr>
            <w:r w:rsidRPr="00877549">
              <w:rPr>
                <w:b/>
                <w:lang w:val="en-GB"/>
              </w:rPr>
              <w:t>ETSI</w:t>
            </w:r>
          </w:p>
        </w:tc>
        <w:tc>
          <w:tcPr>
            <w:tcW w:w="7767" w:type="dxa"/>
          </w:tcPr>
          <w:p w:rsidR="0020388E" w:rsidRPr="00207DBD" w:rsidRDefault="00F8579A" w:rsidP="00A10264">
            <w:pPr>
              <w:pStyle w:val="ECCParagraph"/>
              <w:spacing w:after="0" w:line="288" w:lineRule="auto"/>
              <w:jc w:val="left"/>
            </w:pPr>
            <w:r>
              <w:t>European Telecommunications Standards Institute</w:t>
            </w:r>
          </w:p>
        </w:tc>
      </w:tr>
      <w:tr w:rsidR="00FE13B6" w:rsidRPr="00207DBD">
        <w:tc>
          <w:tcPr>
            <w:tcW w:w="2088" w:type="dxa"/>
          </w:tcPr>
          <w:p w:rsidR="00FE13B6" w:rsidRPr="00877549" w:rsidRDefault="00024962" w:rsidP="00A10264">
            <w:pPr>
              <w:spacing w:line="288" w:lineRule="auto"/>
              <w:rPr>
                <w:b/>
                <w:lang w:val="en-GB"/>
              </w:rPr>
            </w:pPr>
            <w:r w:rsidRPr="00877549">
              <w:rPr>
                <w:b/>
                <w:lang w:val="en-GB"/>
              </w:rPr>
              <w:t>FS</w:t>
            </w:r>
          </w:p>
        </w:tc>
        <w:tc>
          <w:tcPr>
            <w:tcW w:w="7767" w:type="dxa"/>
          </w:tcPr>
          <w:p w:rsidR="00FE13B6" w:rsidRPr="00207DBD" w:rsidRDefault="00F8579A" w:rsidP="00A10264">
            <w:pPr>
              <w:pStyle w:val="ECCParagraph"/>
              <w:spacing w:after="0" w:line="288" w:lineRule="auto"/>
              <w:jc w:val="left"/>
            </w:pPr>
            <w:r>
              <w:t>Fixed service</w:t>
            </w:r>
          </w:p>
        </w:tc>
      </w:tr>
      <w:tr w:rsidR="00FE13B6" w:rsidRPr="00207DBD">
        <w:tc>
          <w:tcPr>
            <w:tcW w:w="2088" w:type="dxa"/>
          </w:tcPr>
          <w:p w:rsidR="00FE13B6" w:rsidRPr="00877549" w:rsidRDefault="00024962" w:rsidP="00A10264">
            <w:pPr>
              <w:spacing w:line="288" w:lineRule="auto"/>
              <w:rPr>
                <w:b/>
                <w:lang w:val="en-GB"/>
              </w:rPr>
            </w:pPr>
            <w:r w:rsidRPr="00877549">
              <w:rPr>
                <w:b/>
                <w:lang w:val="en-GB"/>
              </w:rPr>
              <w:t>FSS</w:t>
            </w:r>
          </w:p>
        </w:tc>
        <w:tc>
          <w:tcPr>
            <w:tcW w:w="7767" w:type="dxa"/>
          </w:tcPr>
          <w:p w:rsidR="00FE13B6" w:rsidRPr="00207DBD" w:rsidRDefault="00F8579A" w:rsidP="00A10264">
            <w:pPr>
              <w:pStyle w:val="ECCParagraph"/>
              <w:spacing w:after="0" w:line="288" w:lineRule="auto"/>
              <w:jc w:val="left"/>
            </w:pPr>
            <w:r>
              <w:t>Fixed-satellite service</w:t>
            </w:r>
          </w:p>
        </w:tc>
      </w:tr>
      <w:tr w:rsidR="00700AA5" w:rsidRPr="00207DBD">
        <w:tc>
          <w:tcPr>
            <w:tcW w:w="2088" w:type="dxa"/>
          </w:tcPr>
          <w:p w:rsidR="00700AA5" w:rsidRPr="00877549" w:rsidRDefault="00024962" w:rsidP="00A10264">
            <w:pPr>
              <w:spacing w:line="288" w:lineRule="auto"/>
              <w:rPr>
                <w:b/>
                <w:lang w:val="en-GB"/>
              </w:rPr>
            </w:pPr>
            <w:r w:rsidRPr="00877549">
              <w:rPr>
                <w:b/>
                <w:lang w:val="en-GB"/>
              </w:rPr>
              <w:t>GSO</w:t>
            </w:r>
          </w:p>
        </w:tc>
        <w:tc>
          <w:tcPr>
            <w:tcW w:w="7767" w:type="dxa"/>
          </w:tcPr>
          <w:p w:rsidR="00700AA5" w:rsidRPr="00207DBD" w:rsidRDefault="00F8579A" w:rsidP="00A10264">
            <w:pPr>
              <w:pStyle w:val="ECCParagraph"/>
              <w:spacing w:after="0" w:line="288" w:lineRule="auto"/>
              <w:jc w:val="left"/>
            </w:pPr>
            <w:r>
              <w:t>Geostationary satellite orbit</w:t>
            </w:r>
          </w:p>
        </w:tc>
      </w:tr>
      <w:tr w:rsidR="00097FC3" w:rsidRPr="00207DBD">
        <w:tc>
          <w:tcPr>
            <w:tcW w:w="2088" w:type="dxa"/>
          </w:tcPr>
          <w:p w:rsidR="00097FC3" w:rsidRPr="00877549" w:rsidRDefault="00024962" w:rsidP="00A10264">
            <w:pPr>
              <w:spacing w:line="288" w:lineRule="auto"/>
              <w:rPr>
                <w:b/>
                <w:lang w:val="en-GB"/>
              </w:rPr>
            </w:pPr>
            <w:r w:rsidRPr="00877549">
              <w:rPr>
                <w:b/>
                <w:lang w:val="en-GB"/>
              </w:rPr>
              <w:t>G/T</w:t>
            </w:r>
          </w:p>
        </w:tc>
        <w:tc>
          <w:tcPr>
            <w:tcW w:w="7767" w:type="dxa"/>
          </w:tcPr>
          <w:p w:rsidR="00207DBD" w:rsidRPr="00207DBD" w:rsidRDefault="00F8579A">
            <w:pPr>
              <w:pStyle w:val="ECCParagraph"/>
              <w:spacing w:after="0" w:line="288" w:lineRule="auto"/>
              <w:jc w:val="left"/>
            </w:pPr>
            <w:r>
              <w:t>Gain to noise temperature ratio (of a receiving earth station)</w:t>
            </w:r>
          </w:p>
        </w:tc>
      </w:tr>
      <w:tr w:rsidR="00097FC3" w:rsidRPr="00207DBD">
        <w:tc>
          <w:tcPr>
            <w:tcW w:w="2088" w:type="dxa"/>
          </w:tcPr>
          <w:p w:rsidR="00097FC3" w:rsidRPr="00877549" w:rsidRDefault="00024962" w:rsidP="00A10264">
            <w:pPr>
              <w:spacing w:line="288" w:lineRule="auto"/>
              <w:rPr>
                <w:b/>
                <w:lang w:val="en-GB"/>
              </w:rPr>
            </w:pPr>
            <w:r w:rsidRPr="00877549">
              <w:rPr>
                <w:b/>
                <w:lang w:val="en-GB"/>
              </w:rPr>
              <w:t>HEST</w:t>
            </w:r>
          </w:p>
        </w:tc>
        <w:tc>
          <w:tcPr>
            <w:tcW w:w="7767" w:type="dxa"/>
          </w:tcPr>
          <w:p w:rsidR="00207DBD" w:rsidRPr="00207DBD" w:rsidRDefault="00F8579A">
            <w:pPr>
              <w:pStyle w:val="ECCParagraph"/>
              <w:spacing w:after="0" w:line="288" w:lineRule="auto"/>
              <w:jc w:val="left"/>
            </w:pPr>
            <w:r>
              <w:t>High e.i.r.p. satellite terminals</w:t>
            </w:r>
          </w:p>
        </w:tc>
      </w:tr>
      <w:tr w:rsidR="0020388E" w:rsidRPr="00207DBD">
        <w:tc>
          <w:tcPr>
            <w:tcW w:w="2088" w:type="dxa"/>
          </w:tcPr>
          <w:p w:rsidR="0020388E" w:rsidRPr="00207DBD" w:rsidRDefault="00024962" w:rsidP="00A10264">
            <w:pPr>
              <w:spacing w:line="288" w:lineRule="auto"/>
              <w:rPr>
                <w:b/>
                <w:lang w:val="en-GB"/>
                <w:rPrChange w:id="7" w:author="Paul Deedman" w:date="2012-02-22T17:41:00Z">
                  <w:rPr>
                    <w:b/>
                  </w:rPr>
                </w:rPrChange>
              </w:rPr>
            </w:pPr>
            <w:r w:rsidRPr="00877549">
              <w:rPr>
                <w:b/>
                <w:lang w:val="en-GB"/>
              </w:rPr>
              <w:t>HDFSS</w:t>
            </w:r>
          </w:p>
        </w:tc>
        <w:tc>
          <w:tcPr>
            <w:tcW w:w="7767" w:type="dxa"/>
          </w:tcPr>
          <w:p w:rsidR="00104CF2" w:rsidRDefault="00F8579A">
            <w:pPr>
              <w:spacing w:line="288" w:lineRule="auto"/>
              <w:pPrChange w:id="8" w:author="Paul Deedman" w:date="2012-02-22T12:32:00Z">
                <w:pPr>
                  <w:pStyle w:val="ECCParagraph"/>
                  <w:spacing w:after="0" w:line="288" w:lineRule="auto"/>
                  <w:jc w:val="left"/>
                </w:pPr>
              </w:pPrChange>
            </w:pPr>
            <w:r>
              <w:rPr>
                <w:lang w:val="en-GB"/>
              </w:rPr>
              <w:t>High-density applications in the fixed-satelliteservice</w:t>
            </w:r>
          </w:p>
        </w:tc>
      </w:tr>
      <w:tr w:rsidR="00097FC3" w:rsidRPr="00207DBD">
        <w:tc>
          <w:tcPr>
            <w:tcW w:w="2088" w:type="dxa"/>
          </w:tcPr>
          <w:p w:rsidR="00097FC3" w:rsidRPr="00877549" w:rsidRDefault="001E777F" w:rsidP="00A10264">
            <w:pPr>
              <w:spacing w:line="288" w:lineRule="auto"/>
              <w:rPr>
                <w:b/>
                <w:lang w:val="en-GB"/>
              </w:rPr>
            </w:pPr>
            <w:r>
              <w:rPr>
                <w:b/>
                <w:lang w:val="en-GB"/>
              </w:rPr>
              <w:t>LEST</w:t>
            </w:r>
          </w:p>
        </w:tc>
        <w:tc>
          <w:tcPr>
            <w:tcW w:w="7767" w:type="dxa"/>
          </w:tcPr>
          <w:p w:rsidR="00097FC3" w:rsidRPr="00207DBD" w:rsidRDefault="00F8579A" w:rsidP="00A10264">
            <w:pPr>
              <w:pStyle w:val="ECCParagraph"/>
              <w:spacing w:after="0" w:line="288" w:lineRule="auto"/>
              <w:jc w:val="left"/>
            </w:pPr>
            <w:r>
              <w:t>Low e.i.r.p. satellite terminals</w:t>
            </w:r>
          </w:p>
        </w:tc>
      </w:tr>
      <w:tr w:rsidR="00376278" w:rsidRPr="00207DBD">
        <w:tc>
          <w:tcPr>
            <w:tcW w:w="2088" w:type="dxa"/>
          </w:tcPr>
          <w:p w:rsidR="00376278" w:rsidRPr="00347E2D" w:rsidRDefault="00024962" w:rsidP="00A10264">
            <w:pPr>
              <w:spacing w:line="288" w:lineRule="auto"/>
              <w:rPr>
                <w:b/>
                <w:lang w:val="en-GB"/>
              </w:rPr>
            </w:pPr>
            <w:r>
              <w:rPr>
                <w:b/>
                <w:lang w:val="en-GB"/>
              </w:rPr>
              <w:t>MS</w:t>
            </w:r>
          </w:p>
        </w:tc>
        <w:tc>
          <w:tcPr>
            <w:tcW w:w="7767" w:type="dxa"/>
          </w:tcPr>
          <w:p w:rsidR="00376278" w:rsidRDefault="00024962" w:rsidP="00A10264">
            <w:pPr>
              <w:pStyle w:val="ECCParagraph"/>
              <w:spacing w:after="0" w:line="288" w:lineRule="auto"/>
              <w:jc w:val="left"/>
            </w:pPr>
            <w:r>
              <w:t>Mobile service</w:t>
            </w:r>
          </w:p>
        </w:tc>
      </w:tr>
      <w:tr w:rsidR="00FE13B6" w:rsidRPr="00207DBD">
        <w:tc>
          <w:tcPr>
            <w:tcW w:w="2088" w:type="dxa"/>
          </w:tcPr>
          <w:p w:rsidR="00FE13B6" w:rsidRPr="00877549" w:rsidRDefault="001E777F" w:rsidP="00A10264">
            <w:pPr>
              <w:spacing w:line="288" w:lineRule="auto"/>
              <w:rPr>
                <w:b/>
                <w:lang w:val="en-GB"/>
              </w:rPr>
            </w:pPr>
            <w:r>
              <w:rPr>
                <w:b/>
                <w:lang w:val="en-GB"/>
              </w:rPr>
              <w:t>MSS</w:t>
            </w:r>
          </w:p>
        </w:tc>
        <w:tc>
          <w:tcPr>
            <w:tcW w:w="7767" w:type="dxa"/>
          </w:tcPr>
          <w:p w:rsidR="00FE13B6" w:rsidRPr="00207DBD" w:rsidRDefault="00F8579A" w:rsidP="00A10264">
            <w:pPr>
              <w:pStyle w:val="ECCParagraph"/>
              <w:spacing w:after="0" w:line="288" w:lineRule="auto"/>
              <w:jc w:val="left"/>
            </w:pPr>
            <w:r>
              <w:t>Mobile-satellite service</w:t>
            </w:r>
          </w:p>
        </w:tc>
      </w:tr>
      <w:tr w:rsidR="00700AA5" w:rsidRPr="00207DBD">
        <w:tc>
          <w:tcPr>
            <w:tcW w:w="2088" w:type="dxa"/>
          </w:tcPr>
          <w:p w:rsidR="00700AA5" w:rsidRPr="00877549" w:rsidRDefault="001E777F" w:rsidP="00A10264">
            <w:pPr>
              <w:spacing w:line="288" w:lineRule="auto"/>
              <w:rPr>
                <w:b/>
                <w:lang w:val="en-GB"/>
              </w:rPr>
            </w:pPr>
            <w:r>
              <w:rPr>
                <w:b/>
                <w:lang w:val="en-GB"/>
              </w:rPr>
              <w:t>NCMC</w:t>
            </w:r>
          </w:p>
        </w:tc>
        <w:tc>
          <w:tcPr>
            <w:tcW w:w="7767" w:type="dxa"/>
          </w:tcPr>
          <w:p w:rsidR="00207DBD" w:rsidRPr="00207DBD" w:rsidRDefault="00F8579A">
            <w:pPr>
              <w:pStyle w:val="ECCParagraph"/>
              <w:spacing w:after="0" w:line="288" w:lineRule="auto"/>
              <w:jc w:val="left"/>
            </w:pPr>
            <w:r>
              <w:t>Network control and monitoring centre</w:t>
            </w:r>
          </w:p>
        </w:tc>
      </w:tr>
      <w:tr w:rsidR="0038065D" w:rsidRPr="00207DBD">
        <w:tc>
          <w:tcPr>
            <w:tcW w:w="2088" w:type="dxa"/>
          </w:tcPr>
          <w:p w:rsidR="0038065D" w:rsidRPr="00877549" w:rsidRDefault="001E777F" w:rsidP="00A10264">
            <w:pPr>
              <w:spacing w:line="288" w:lineRule="auto"/>
              <w:rPr>
                <w:b/>
                <w:lang w:val="en-GB"/>
              </w:rPr>
            </w:pPr>
            <w:r>
              <w:rPr>
                <w:b/>
                <w:lang w:val="en-GB"/>
              </w:rPr>
              <w:t>R&amp;TTE</w:t>
            </w:r>
          </w:p>
        </w:tc>
        <w:tc>
          <w:tcPr>
            <w:tcW w:w="7767" w:type="dxa"/>
          </w:tcPr>
          <w:p w:rsidR="0038065D" w:rsidRPr="00207DBD" w:rsidRDefault="00F8579A" w:rsidP="0020388E">
            <w:pPr>
              <w:pStyle w:val="ECCParagraph"/>
              <w:spacing w:after="0" w:line="288" w:lineRule="auto"/>
              <w:jc w:val="left"/>
            </w:pPr>
            <w:r>
              <w:t>Radio equipment and telecommunications terminal equipment</w:t>
            </w:r>
          </w:p>
        </w:tc>
      </w:tr>
      <w:tr w:rsidR="0020388E" w:rsidRPr="00207DBD">
        <w:tc>
          <w:tcPr>
            <w:tcW w:w="2088" w:type="dxa"/>
          </w:tcPr>
          <w:p w:rsidR="0020388E" w:rsidRPr="00877549" w:rsidDel="0020388E" w:rsidRDefault="001E777F" w:rsidP="00A10264">
            <w:pPr>
              <w:spacing w:line="288" w:lineRule="auto"/>
              <w:rPr>
                <w:b/>
                <w:lang w:val="en-GB"/>
              </w:rPr>
            </w:pPr>
            <w:r>
              <w:rPr>
                <w:b/>
                <w:lang w:val="en-GB"/>
              </w:rPr>
              <w:t>VSAT</w:t>
            </w:r>
          </w:p>
        </w:tc>
        <w:tc>
          <w:tcPr>
            <w:tcW w:w="7767" w:type="dxa"/>
          </w:tcPr>
          <w:p w:rsidR="00207DBD" w:rsidRPr="00207DBD" w:rsidRDefault="00F8579A">
            <w:pPr>
              <w:pStyle w:val="ECCParagraph"/>
              <w:spacing w:after="0" w:line="288" w:lineRule="auto"/>
              <w:jc w:val="left"/>
            </w:pPr>
            <w:r>
              <w:t>Very small aperture terminal</w:t>
            </w:r>
          </w:p>
        </w:tc>
      </w:tr>
      <w:tr w:rsidR="00631909" w:rsidRPr="00207DBD">
        <w:tc>
          <w:tcPr>
            <w:tcW w:w="2088" w:type="dxa"/>
          </w:tcPr>
          <w:p w:rsidR="00631909" w:rsidRPr="00877549" w:rsidRDefault="00631909" w:rsidP="00A10264">
            <w:pPr>
              <w:spacing w:line="288" w:lineRule="auto"/>
              <w:rPr>
                <w:b/>
                <w:lang w:val="en-GB"/>
              </w:rPr>
            </w:pPr>
          </w:p>
        </w:tc>
        <w:tc>
          <w:tcPr>
            <w:tcW w:w="7767" w:type="dxa"/>
          </w:tcPr>
          <w:p w:rsidR="00631909" w:rsidRPr="00207DBD" w:rsidRDefault="00631909" w:rsidP="00A10264">
            <w:pPr>
              <w:pStyle w:val="ECCParagraph"/>
              <w:spacing w:after="0" w:line="288" w:lineRule="auto"/>
              <w:jc w:val="left"/>
            </w:pPr>
          </w:p>
        </w:tc>
      </w:tr>
      <w:tr w:rsidR="00631909" w:rsidRPr="00207DBD">
        <w:tc>
          <w:tcPr>
            <w:tcW w:w="2088" w:type="dxa"/>
          </w:tcPr>
          <w:p w:rsidR="00631909" w:rsidRPr="00877549" w:rsidRDefault="00631909" w:rsidP="00A10264">
            <w:pPr>
              <w:spacing w:line="288" w:lineRule="auto"/>
              <w:rPr>
                <w:b/>
                <w:lang w:val="en-GB"/>
              </w:rPr>
            </w:pPr>
          </w:p>
        </w:tc>
        <w:tc>
          <w:tcPr>
            <w:tcW w:w="7767" w:type="dxa"/>
          </w:tcPr>
          <w:p w:rsidR="00631909" w:rsidRPr="00207DBD" w:rsidRDefault="00631909" w:rsidP="00A10264">
            <w:pPr>
              <w:pStyle w:val="ECCParagraph"/>
              <w:spacing w:after="0" w:line="288" w:lineRule="auto"/>
              <w:jc w:val="left"/>
              <w:rPr>
                <w:color w:val="000000"/>
              </w:rPr>
            </w:pPr>
          </w:p>
        </w:tc>
      </w:tr>
      <w:tr w:rsidR="00631909" w:rsidRPr="00207DBD">
        <w:tc>
          <w:tcPr>
            <w:tcW w:w="2088" w:type="dxa"/>
          </w:tcPr>
          <w:p w:rsidR="00631909" w:rsidRPr="00877549" w:rsidRDefault="00631909" w:rsidP="00A10264">
            <w:pPr>
              <w:spacing w:line="288" w:lineRule="auto"/>
              <w:rPr>
                <w:b/>
                <w:lang w:val="en-GB"/>
              </w:rPr>
            </w:pPr>
          </w:p>
        </w:tc>
        <w:tc>
          <w:tcPr>
            <w:tcW w:w="7767" w:type="dxa"/>
          </w:tcPr>
          <w:p w:rsidR="00631909" w:rsidRPr="00877549" w:rsidRDefault="00631909" w:rsidP="00A10264">
            <w:pPr>
              <w:spacing w:line="288" w:lineRule="auto"/>
              <w:rPr>
                <w:lang w:val="en-GB"/>
              </w:rPr>
            </w:pPr>
          </w:p>
        </w:tc>
      </w:tr>
      <w:tr w:rsidR="00631909" w:rsidRPr="00207DBD">
        <w:tc>
          <w:tcPr>
            <w:tcW w:w="2088" w:type="dxa"/>
          </w:tcPr>
          <w:p w:rsidR="00631909" w:rsidRPr="00877549" w:rsidRDefault="00631909" w:rsidP="00A10264">
            <w:pPr>
              <w:spacing w:line="288" w:lineRule="auto"/>
              <w:rPr>
                <w:b/>
                <w:lang w:val="en-GB"/>
              </w:rPr>
            </w:pPr>
          </w:p>
        </w:tc>
        <w:tc>
          <w:tcPr>
            <w:tcW w:w="7767" w:type="dxa"/>
          </w:tcPr>
          <w:p w:rsidR="00631909" w:rsidRPr="00877549" w:rsidRDefault="00631909" w:rsidP="00A10264">
            <w:pPr>
              <w:spacing w:line="288" w:lineRule="auto"/>
              <w:rPr>
                <w:lang w:val="en-GB"/>
              </w:rPr>
            </w:pPr>
          </w:p>
        </w:tc>
      </w:tr>
      <w:tr w:rsidR="00631909" w:rsidRPr="00207DBD">
        <w:tc>
          <w:tcPr>
            <w:tcW w:w="2088" w:type="dxa"/>
          </w:tcPr>
          <w:p w:rsidR="00631909" w:rsidRPr="00877549" w:rsidRDefault="00631909" w:rsidP="00A10264">
            <w:pPr>
              <w:spacing w:line="288" w:lineRule="auto"/>
              <w:rPr>
                <w:b/>
                <w:lang w:val="en-GB"/>
              </w:rPr>
            </w:pPr>
          </w:p>
        </w:tc>
        <w:tc>
          <w:tcPr>
            <w:tcW w:w="7767" w:type="dxa"/>
          </w:tcPr>
          <w:p w:rsidR="00631909" w:rsidRPr="00877549" w:rsidRDefault="00631909" w:rsidP="00A10264">
            <w:pPr>
              <w:spacing w:line="288" w:lineRule="auto"/>
              <w:rPr>
                <w:lang w:val="en-GB"/>
              </w:rPr>
            </w:pPr>
          </w:p>
        </w:tc>
      </w:tr>
    </w:tbl>
    <w:p w:rsidR="00631909" w:rsidRPr="00877549" w:rsidRDefault="00631909" w:rsidP="00A10264">
      <w:pPr>
        <w:rPr>
          <w:lang w:val="en-GB"/>
        </w:rPr>
      </w:pPr>
    </w:p>
    <w:p w:rsidR="00631909" w:rsidRPr="00207DBD" w:rsidRDefault="00F8579A" w:rsidP="00B75A92">
      <w:pPr>
        <w:pStyle w:val="Titre1"/>
      </w:pPr>
      <w:r>
        <w:t>Introduction</w:t>
      </w:r>
    </w:p>
    <w:p w:rsidR="00631909" w:rsidRPr="00207DBD" w:rsidRDefault="00F8579A" w:rsidP="009451F5">
      <w:pPr>
        <w:pStyle w:val="ECCParagraph"/>
      </w:pPr>
      <w:r>
        <w:t xml:space="preserve">Recently there has been an increase in the use of fixed satellite service networks by </w:t>
      </w:r>
      <w:r>
        <w:t>e</w:t>
      </w:r>
      <w:r>
        <w:t>arth stations mounted on mobile platforms (ESOMPs) to provide telecommunications services to aircraft, ships, trains and other vehicles using both the C- and Ku-band.  As the demand for these systems evolves, service providers are turning to other FSS bands, in particular Ka-band, to meet this growing need.</w:t>
      </w:r>
    </w:p>
    <w:p w:rsidR="00631909" w:rsidRPr="00207DBD" w:rsidRDefault="00F8579A" w:rsidP="002340C4">
      <w:pPr>
        <w:pStyle w:val="ECCParagraph"/>
      </w:pPr>
      <w:r>
        <w:lastRenderedPageBreak/>
        <w:t xml:space="preserve">Advances in satellite antenna technology, particularly the development of stabilized antennas capable of maintaining a high degree of pointing accuracy even on rapidly moving platforms, have already allowed the development of mobile </w:t>
      </w:r>
      <w:r>
        <w:t>e</w:t>
      </w:r>
      <w:r>
        <w:t xml:space="preserve">arth stations with very stable pointing characteristics. The pointing accuracy performance of systems currently either in production or under development for use in Ka-band is equal to or better than that currently achieved by Ku-band platforms. These mobile </w:t>
      </w:r>
      <w:r>
        <w:t>e</w:t>
      </w:r>
      <w:r>
        <w:t xml:space="preserve">arth stations are designed to operate in the same interference environment and comply with same regulatory constraints as typical uncoordinated FSS </w:t>
      </w:r>
      <w:r>
        <w:t>e</w:t>
      </w:r>
      <w:r>
        <w:t>arth stations.</w:t>
      </w:r>
    </w:p>
    <w:p w:rsidR="00631909" w:rsidRPr="00207DBD" w:rsidRDefault="00F8579A" w:rsidP="002340C4">
      <w:pPr>
        <w:pStyle w:val="ECCParagraph"/>
      </w:pPr>
      <w:r>
        <w:t xml:space="preserve">WRC-03 adopted technical, operational and regulatory provisions for aeronautical mobile satellite service (AMSS) systems and </w:t>
      </w:r>
      <w:r>
        <w:t>e</w:t>
      </w:r>
      <w:r>
        <w:t xml:space="preserve">arth stations on-board vessels (ESVs) to allow these systems to operate in FSS frequencies in the C- and Ku-bands. Since 2003, numerous networks have been operating successfully under these provisions. </w:t>
      </w:r>
    </w:p>
    <w:p w:rsidR="00631909" w:rsidRPr="00207DBD" w:rsidRDefault="00F8579A" w:rsidP="002340C4">
      <w:pPr>
        <w:pStyle w:val="ECCParagraph"/>
      </w:pPr>
      <w:r>
        <w:t xml:space="preserve">The </w:t>
      </w:r>
      <w:r>
        <w:t>e</w:t>
      </w:r>
      <w:r>
        <w:t>arth stations on mobile platforms for GSO systems contemplated for the Ka-band are similar to those contemplated in the C- and Ku-band</w:t>
      </w:r>
      <w:bookmarkStart w:id="9" w:name="_Toc304823048"/>
      <w:bookmarkStart w:id="10" w:name="_Toc302118909"/>
      <w:r>
        <w:t>s.</w:t>
      </w:r>
    </w:p>
    <w:p w:rsidR="00631909" w:rsidRPr="00207DBD" w:rsidRDefault="00F8579A" w:rsidP="00E71582">
      <w:pPr>
        <w:pStyle w:val="ECCParagraph"/>
      </w:pPr>
      <w:r>
        <w:t xml:space="preserve">This report examines the requirements for ESOMPs in the Ka-band frequencies, and recommends a regulatory approach which could be adopted by the CEPT.  The technical requirements which would need to be included in an appropriate ECC Decision for Ka-band ESOMPs are identified.  </w:t>
      </w:r>
    </w:p>
    <w:p w:rsidR="00631909" w:rsidRPr="00207DBD" w:rsidRDefault="00F8579A" w:rsidP="00E71582">
      <w:pPr>
        <w:pStyle w:val="ECCParagraph"/>
      </w:pPr>
      <w:r>
        <w:t xml:space="preserve">This ECC Report covers ESOMPs operating with GSO networks in the </w:t>
      </w:r>
      <w:proofErr w:type="spellStart"/>
      <w:r>
        <w:t>Ka</w:t>
      </w:r>
      <w:proofErr w:type="spellEnd"/>
      <w:r>
        <w:t>-band (17.3-20.2 GHz</w:t>
      </w:r>
      <w:r>
        <w:t xml:space="preserve"> and</w:t>
      </w:r>
      <w:r>
        <w:t xml:space="preserve"> 27</w:t>
      </w:r>
      <w:r>
        <w:t>.</w:t>
      </w:r>
      <w:r>
        <w:t xml:space="preserve">5-30 GHz). ESOMPs operating with </w:t>
      </w:r>
      <w:r>
        <w:t xml:space="preserve">non-geostationary </w:t>
      </w:r>
      <w:r>
        <w:t>FSS networks are out of scope of this Report.</w:t>
      </w:r>
    </w:p>
    <w:p w:rsidR="00631909" w:rsidRPr="00207DBD" w:rsidRDefault="00F8579A" w:rsidP="00B75A92">
      <w:pPr>
        <w:pStyle w:val="Titre1"/>
      </w:pPr>
      <w:bookmarkStart w:id="11" w:name="_Toc305681984"/>
      <w:bookmarkStart w:id="12" w:name="_Toc183171026"/>
      <w:r>
        <w:t xml:space="preserve">Need for Access by gso esomps to portions of the bands 27.5-30.0 GHz and 17.3-20.2 GHz </w:t>
      </w:r>
      <w:bookmarkEnd w:id="9"/>
      <w:bookmarkEnd w:id="10"/>
      <w:bookmarkEnd w:id="11"/>
      <w:bookmarkEnd w:id="12"/>
    </w:p>
    <w:p w:rsidR="00631909" w:rsidRPr="00207DBD" w:rsidRDefault="00F8579A" w:rsidP="00E71582">
      <w:pPr>
        <w:pStyle w:val="ECCParagraph"/>
      </w:pPr>
      <w:r>
        <w:t>ECC Report 152 on the use of the frequency bands 27.5-30.0 GHz and 17.3-20.2 GHz by satellite networks identified a number of reasons, listed below, why some satellite operators and service providers are moving from Ku-band to Ka-band.  In fact, some of the reasons, such as the ability to use smaller user terminals, are particularly relevant to the mobile markets served by ESOMPs, where the size and weight of the user antenna are critical considerations.</w:t>
      </w:r>
    </w:p>
    <w:p w:rsidR="00D049DA" w:rsidRPr="00207DBD" w:rsidRDefault="009139C5">
      <w:pPr>
        <w:pStyle w:val="ECCParagraph"/>
        <w:numPr>
          <w:ilvl w:val="0"/>
          <w:numId w:val="49"/>
        </w:numPr>
      </w:pPr>
      <w:r>
        <w:t>Improved</w:t>
      </w:r>
      <w:r w:rsidR="00F8579A">
        <w:t xml:space="preserve"> spectrum efficiency due to the use of narrow spot beams;</w:t>
      </w:r>
    </w:p>
    <w:p w:rsidR="00D049DA" w:rsidRPr="00207DBD" w:rsidRDefault="00F8579A">
      <w:pPr>
        <w:pStyle w:val="ECCParagraph"/>
        <w:numPr>
          <w:ilvl w:val="0"/>
          <w:numId w:val="49"/>
        </w:numPr>
      </w:pPr>
      <w:r>
        <w:t>Better individual coverage and higher gain compared to lower frequency bands;</w:t>
      </w:r>
    </w:p>
    <w:p w:rsidR="00D049DA" w:rsidRPr="00207DBD" w:rsidRDefault="00F8579A">
      <w:pPr>
        <w:pStyle w:val="ECCParagraph"/>
        <w:numPr>
          <w:ilvl w:val="0"/>
          <w:numId w:val="49"/>
        </w:numPr>
      </w:pPr>
      <w:r>
        <w:t>Smaller user terminal size due to higher satellite EIRP and G/T;</w:t>
      </w:r>
    </w:p>
    <w:p w:rsidR="00D049DA" w:rsidRPr="00207DBD" w:rsidRDefault="00F8579A">
      <w:pPr>
        <w:pStyle w:val="ECCParagraph"/>
        <w:numPr>
          <w:ilvl w:val="0"/>
          <w:numId w:val="49"/>
        </w:numPr>
      </w:pPr>
      <w:r>
        <w:t>Higher system capacity;</w:t>
      </w:r>
    </w:p>
    <w:p w:rsidR="00D049DA" w:rsidRPr="00207DBD" w:rsidRDefault="00F8579A">
      <w:pPr>
        <w:pStyle w:val="ECCParagraph"/>
        <w:numPr>
          <w:ilvl w:val="0"/>
          <w:numId w:val="49"/>
        </w:numPr>
      </w:pPr>
      <w:r>
        <w:t>Greater amount of spectrum available for FSS systems.</w:t>
      </w:r>
    </w:p>
    <w:p w:rsidR="00631909" w:rsidRPr="00207DBD" w:rsidRDefault="00F8579A" w:rsidP="002340C4">
      <w:pPr>
        <w:pStyle w:val="ECCParagraph"/>
      </w:pPr>
      <w:r>
        <w:t xml:space="preserve">Users of ESOMPs on mobile platforms such as aircraft, ships, trains and other vehicles often have no other alternative for broadband access besides satellites. In Europe, for example, while studies are underway to identify spectrum for broadband </w:t>
      </w:r>
      <w:r>
        <w:t>a</w:t>
      </w:r>
      <w:r>
        <w:t>ir-to-</w:t>
      </w:r>
      <w:r>
        <w:t>g</w:t>
      </w:r>
      <w:r>
        <w:t xml:space="preserve">round communications, no such spectrum currently is available to the aeronautical community. </w:t>
      </w:r>
      <w:r>
        <w:lastRenderedPageBreak/>
        <w:t xml:space="preserve">Similarly, ships, even those in inland waterways are often beyond the reach of terrestrial wireless networks. </w:t>
      </w:r>
    </w:p>
    <w:p w:rsidR="00631909" w:rsidRPr="00207DBD" w:rsidRDefault="00F8579A" w:rsidP="00E71582">
      <w:pPr>
        <w:pStyle w:val="ECCParagraph"/>
      </w:pPr>
      <w:bookmarkStart w:id="13" w:name="_Toc302118910"/>
      <w:bookmarkStart w:id="14" w:name="_Toc304823050"/>
      <w:bookmarkStart w:id="15" w:name="_Toc173733785"/>
      <w:r>
        <w:t xml:space="preserve">As described in CEPT ECC Report 152, </w:t>
      </w:r>
      <w:proofErr w:type="spellStart"/>
      <w:r>
        <w:t>Ka</w:t>
      </w:r>
      <w:proofErr w:type="spellEnd"/>
      <w:r>
        <w:t xml:space="preserve">-band </w:t>
      </w:r>
      <w:r>
        <w:t xml:space="preserve">geostationary </w:t>
      </w:r>
      <w:r>
        <w:t xml:space="preserve">FSS systems are now in operation in Europe. The vast majority of these Ka-band FSS systems operate their user-links (i.e. to/from </w:t>
      </w:r>
      <w:proofErr w:type="spellStart"/>
      <w:r>
        <w:t>Ka</w:t>
      </w:r>
      <w:proofErr w:type="spellEnd"/>
      <w:r>
        <w:t xml:space="preserve">-band </w:t>
      </w:r>
      <w:r>
        <w:t>LESTs</w:t>
      </w:r>
      <w:r>
        <w:t xml:space="preserve">/HESTs) within the 29.5 – 30.0 GHz / 19.7 – 20.2 GHz bands. </w:t>
      </w:r>
      <w:proofErr w:type="spellStart"/>
      <w:r>
        <w:t>Ka</w:t>
      </w:r>
      <w:proofErr w:type="spellEnd"/>
      <w:r>
        <w:t xml:space="preserve">-band </w:t>
      </w:r>
      <w:r>
        <w:t xml:space="preserve">geostationary </w:t>
      </w:r>
      <w:r>
        <w:t>satellite systems</w:t>
      </w:r>
      <w:r>
        <w:rPr>
          <w:rStyle w:val="Appelnotedebasdep"/>
        </w:rPr>
        <w:footnoteReference w:id="2"/>
      </w:r>
      <w:r w:rsidR="00024962" w:rsidRPr="00877549">
        <w:t xml:space="preserve"> are intended to support the realisation of the EU Digital Agenda 2013 and 2020 objectives for broadband provision to EU customers and so take part to the realisation of EU policy objectives. </w:t>
      </w:r>
    </w:p>
    <w:p w:rsidR="00631909" w:rsidRPr="00207DBD" w:rsidRDefault="00024962" w:rsidP="00E71582">
      <w:pPr>
        <w:pStyle w:val="ECCParagraph"/>
      </w:pPr>
      <w:r w:rsidRPr="00877549">
        <w:t>There is a significant requirement for additional Ka-band FSS satellite capacity (i.e</w:t>
      </w:r>
      <w:r w:rsidR="00EE3829">
        <w:t xml:space="preserve">. </w:t>
      </w:r>
      <w:r w:rsidRPr="00877549">
        <w:t>Ka-band satellite systems operating in the above 2</w:t>
      </w:r>
      <w:r w:rsidR="000543D1">
        <w:t>x</w:t>
      </w:r>
      <w:r w:rsidR="00631909" w:rsidRPr="00207DBD">
        <w:t xml:space="preserve">500 MHz frequency bands) to be deployed over Europe to support FSS type applications.  </w:t>
      </w:r>
    </w:p>
    <w:p w:rsidR="00631909" w:rsidRPr="00207DBD" w:rsidRDefault="00024962" w:rsidP="00B75A92">
      <w:pPr>
        <w:pStyle w:val="Titre1"/>
      </w:pPr>
      <w:bookmarkStart w:id="16" w:name="_Toc183171027"/>
      <w:bookmarkStart w:id="17" w:name="_Toc305681986"/>
      <w:r w:rsidRPr="00877549">
        <w:t>Regulatory Framework for ESOMPs</w:t>
      </w:r>
      <w:bookmarkEnd w:id="16"/>
    </w:p>
    <w:p w:rsidR="001D2AA3" w:rsidRPr="00207DBD" w:rsidRDefault="00024962">
      <w:pPr>
        <w:pStyle w:val="Titre2"/>
      </w:pPr>
      <w:bookmarkStart w:id="18" w:name="_Toc305681987"/>
      <w:bookmarkStart w:id="19" w:name="_Toc183171028"/>
      <w:bookmarkStart w:id="20" w:name="_Toc302118911"/>
      <w:bookmarkEnd w:id="13"/>
      <w:bookmarkEnd w:id="17"/>
      <w:r w:rsidRPr="00877549">
        <w:t>3.1</w:t>
      </w:r>
      <w:r w:rsidRPr="00877549">
        <w:tab/>
        <w:t>ITU-R</w:t>
      </w:r>
      <w:bookmarkEnd w:id="14"/>
      <w:bookmarkEnd w:id="15"/>
      <w:bookmarkEnd w:id="18"/>
      <w:bookmarkEnd w:id="19"/>
    </w:p>
    <w:p w:rsidR="001D2AA3" w:rsidRPr="00877549" w:rsidRDefault="00024962">
      <w:pPr>
        <w:pStyle w:val="Titre3"/>
        <w:rPr>
          <w:lang w:val="en-GB"/>
        </w:rPr>
      </w:pPr>
      <w:bookmarkStart w:id="21" w:name="_Toc305681988"/>
      <w:bookmarkStart w:id="22" w:name="_Toc304823051"/>
      <w:bookmarkStart w:id="23" w:name="_Toc183171029"/>
      <w:r w:rsidRPr="00877549">
        <w:rPr>
          <w:lang w:val="en-GB"/>
        </w:rPr>
        <w:t>3.1.1</w:t>
      </w:r>
      <w:r w:rsidRPr="00877549">
        <w:rPr>
          <w:lang w:val="en-GB"/>
        </w:rPr>
        <w:tab/>
        <w:t>WRC-03 Decisions</w:t>
      </w:r>
      <w:bookmarkEnd w:id="20"/>
      <w:r w:rsidRPr="00877549">
        <w:rPr>
          <w:lang w:val="en-GB"/>
        </w:rPr>
        <w:t xml:space="preserve"> on AMSS operating in the 14.0-14.5 GHz band</w:t>
      </w:r>
      <w:bookmarkEnd w:id="21"/>
      <w:bookmarkEnd w:id="22"/>
      <w:bookmarkEnd w:id="23"/>
    </w:p>
    <w:p w:rsidR="00631909" w:rsidRPr="00207DBD" w:rsidRDefault="00024962" w:rsidP="00B75A92">
      <w:pPr>
        <w:pStyle w:val="ECCParagraph"/>
        <w:rPr>
          <w:b/>
        </w:rPr>
      </w:pPr>
      <w:r w:rsidRPr="00877549">
        <w:t>Extensive work was carried out by ITU-R study groups prior to WRC-03 under Resolution 216 (Rev.WRC-2000), which invited the ITU-R:</w:t>
      </w:r>
    </w:p>
    <w:p w:rsidR="00631909" w:rsidRPr="00207DBD" w:rsidRDefault="00024962" w:rsidP="00B75A92">
      <w:pPr>
        <w:pStyle w:val="ECCParagraph"/>
        <w:ind w:left="720" w:right="567"/>
        <w:rPr>
          <w:b/>
        </w:rPr>
      </w:pPr>
      <w:r w:rsidRPr="00877549">
        <w:t>“to complete, in time for WRC-03, the technical and operational studies on the feasibility of sharing of the band 14.0-14.5 GHz between the services referred to in considering c) [above] and the aeronautical mobile-satellite service, with the latter service on a secondary basis.”</w:t>
      </w:r>
    </w:p>
    <w:p w:rsidR="00631909" w:rsidRPr="00207DBD" w:rsidRDefault="00024962" w:rsidP="00B75A92">
      <w:pPr>
        <w:pStyle w:val="ECCParagraph"/>
      </w:pPr>
      <w:r w:rsidRPr="00877549">
        <w:t>W</w:t>
      </w:r>
      <w:r w:rsidRPr="00877549">
        <w:t xml:space="preserve">orking </w:t>
      </w:r>
      <w:r w:rsidRPr="00877549">
        <w:t>P</w:t>
      </w:r>
      <w:r w:rsidRPr="00877549">
        <w:t>arty</w:t>
      </w:r>
      <w:r w:rsidRPr="00877549">
        <w:t xml:space="preserve"> 4A carried out technical studies which identified several essential requirements that an AMSS system should meet in order to protect FSS. In the case where an AMSS system was implemented within FSS assignments, the ITU-R concluded that the interference levels reaching GSO satellites must at all times be no more than the levels agreed to in coordination. These agreed levels are based on stable antenna platforms with well-defined antenna patterns and aggregate levels that are not to be exceeded. To achieve this goal, the ITU-R identified several requirements that should be placed on AMSS systems to protect FSS: </w:t>
      </w:r>
    </w:p>
    <w:p w:rsidR="00631909" w:rsidRPr="00207DBD" w:rsidRDefault="00024962" w:rsidP="00FD24B0">
      <w:pPr>
        <w:pStyle w:val="ECCParagraph"/>
        <w:numPr>
          <w:ilvl w:val="0"/>
          <w:numId w:val="43"/>
        </w:numPr>
        <w:spacing w:after="120"/>
        <w:ind w:left="709" w:hanging="352"/>
      </w:pPr>
      <w:r w:rsidRPr="00877549">
        <w:t>Aggregation of off-axis power from multiple aircraft where applicable, for example in systems using spread spectrum multiple access;</w:t>
      </w:r>
    </w:p>
    <w:p w:rsidR="00631909" w:rsidRPr="00207DBD" w:rsidRDefault="00024962" w:rsidP="00B75A92">
      <w:pPr>
        <w:pStyle w:val="ECCParagraph"/>
        <w:numPr>
          <w:ilvl w:val="0"/>
          <w:numId w:val="43"/>
        </w:numPr>
        <w:spacing w:after="120"/>
        <w:ind w:left="1077"/>
      </w:pPr>
      <w:r w:rsidRPr="00877549">
        <w:t>Antenna gain pattern;</w:t>
      </w:r>
    </w:p>
    <w:p w:rsidR="00631909" w:rsidRPr="00207DBD" w:rsidRDefault="00024962" w:rsidP="00B75A92">
      <w:pPr>
        <w:pStyle w:val="ECCParagraph"/>
        <w:numPr>
          <w:ilvl w:val="0"/>
          <w:numId w:val="43"/>
        </w:numPr>
        <w:spacing w:after="120"/>
        <w:ind w:left="1077"/>
      </w:pPr>
      <w:r w:rsidRPr="00877549">
        <w:t>Antenna capture by adjacent satellites;</w:t>
      </w:r>
    </w:p>
    <w:p w:rsidR="00631909" w:rsidRPr="00207DBD" w:rsidRDefault="00024962" w:rsidP="00B75A92">
      <w:pPr>
        <w:pStyle w:val="ECCParagraph"/>
        <w:numPr>
          <w:ilvl w:val="0"/>
          <w:numId w:val="43"/>
        </w:numPr>
        <w:spacing w:after="120"/>
        <w:ind w:left="1077"/>
      </w:pPr>
      <w:r w:rsidRPr="00877549">
        <w:t>Input power to the antenna;</w:t>
      </w:r>
    </w:p>
    <w:p w:rsidR="00631909" w:rsidRPr="00207DBD" w:rsidRDefault="00024962" w:rsidP="00B75A92">
      <w:pPr>
        <w:pStyle w:val="ECCParagraph"/>
        <w:numPr>
          <w:ilvl w:val="0"/>
          <w:numId w:val="43"/>
        </w:numPr>
        <w:spacing w:after="120"/>
        <w:ind w:left="1077"/>
      </w:pPr>
      <w:r w:rsidRPr="00877549">
        <w:t xml:space="preserve">Antenna </w:t>
      </w:r>
      <w:proofErr w:type="spellStart"/>
      <w:r w:rsidRPr="00877549">
        <w:t>mispointing</w:t>
      </w:r>
      <w:proofErr w:type="spellEnd"/>
      <w:r w:rsidRPr="00877549">
        <w:t>.</w:t>
      </w:r>
    </w:p>
    <w:p w:rsidR="00631909" w:rsidRPr="00207DBD" w:rsidRDefault="00024962" w:rsidP="00B75A92">
      <w:pPr>
        <w:pStyle w:val="ECCParagraph"/>
      </w:pPr>
      <w:r w:rsidRPr="00877549">
        <w:lastRenderedPageBreak/>
        <w:t>These factors formed the basis of a Recommendation on use of this band by AMSS and these were adopted as part of Recommendation ITU-R M.1643. The CPM Report to WRC-03 concluded that sharing with the FSS was possible in the 14.0-14.5 GHz frequency band, “provided aggregate co-frequency AES emissions in the direction of adjacent satellites are limited to levels that are equal to or less than the levels that have been accepted by other satellite networks.”</w:t>
      </w:r>
      <w:r w:rsidR="00F8579A">
        <w:rPr>
          <w:rStyle w:val="Appelnotedebasdep"/>
        </w:rPr>
        <w:footnoteReference w:id="3"/>
      </w:r>
    </w:p>
    <w:p w:rsidR="00631909" w:rsidRPr="00207DBD" w:rsidRDefault="00024962" w:rsidP="00B75A92">
      <w:pPr>
        <w:pStyle w:val="ECCParagraph"/>
      </w:pPr>
      <w:r w:rsidRPr="00877549">
        <w:t xml:space="preserve">Because several administrations have implemented Fixed Service </w:t>
      </w:r>
      <w:r w:rsidRPr="00877549">
        <w:t xml:space="preserve">(FS) </w:t>
      </w:r>
      <w:r w:rsidRPr="00877549">
        <w:t>networks in the 14.0-14.5 GHz band, studies were also carried out within former WP-8D to examine the feasibility of sharing between AMSS and the FS. Recommendation ITU-R M.1643 adopted a pfd mask to protect FS networks in the 14.0-14.5 GHz band. In practice, sharing between AMSS and FS networks operating in the 14.0-14.5 GHz band has proven to be more difficult when the services are operating in the same geographic area.</w:t>
      </w:r>
    </w:p>
    <w:p w:rsidR="001D2AA3" w:rsidRPr="00877549" w:rsidRDefault="00024962">
      <w:pPr>
        <w:pStyle w:val="Titre3"/>
        <w:rPr>
          <w:lang w:val="en-GB"/>
        </w:rPr>
      </w:pPr>
      <w:bookmarkStart w:id="24" w:name="_Toc302118912"/>
      <w:bookmarkStart w:id="25" w:name="_Toc305681989"/>
      <w:bookmarkStart w:id="26" w:name="_Toc304823052"/>
      <w:bookmarkStart w:id="27" w:name="_Toc183171030"/>
      <w:r w:rsidRPr="00877549">
        <w:rPr>
          <w:lang w:val="en-GB"/>
        </w:rPr>
        <w:t>3.1.2</w:t>
      </w:r>
      <w:r w:rsidRPr="00877549">
        <w:rPr>
          <w:lang w:val="en-GB"/>
        </w:rPr>
        <w:tab/>
        <w:t>WRC-03 Decisions on ESV</w:t>
      </w:r>
      <w:bookmarkEnd w:id="24"/>
      <w:r w:rsidRPr="00877549">
        <w:rPr>
          <w:lang w:val="en-GB"/>
        </w:rPr>
        <w:t>s operating at C-Band and Ku-Band</w:t>
      </w:r>
      <w:bookmarkEnd w:id="25"/>
      <w:bookmarkEnd w:id="26"/>
      <w:bookmarkEnd w:id="27"/>
    </w:p>
    <w:p w:rsidR="00631909" w:rsidRPr="00207DBD" w:rsidRDefault="00024962" w:rsidP="00B75A92">
      <w:pPr>
        <w:pStyle w:val="ECCParagraph"/>
      </w:pPr>
      <w:r w:rsidRPr="00877549">
        <w:t xml:space="preserve">In the case of </w:t>
      </w:r>
      <w:r w:rsidRPr="00877549">
        <w:t>e</w:t>
      </w:r>
      <w:r w:rsidRPr="00877549">
        <w:t xml:space="preserve">arth Stations on board Vessels, WP-4-9S was the lead working party for studies. Unlike AMSS, ESVs were treated from the start as operating in the FSS.  The CPM </w:t>
      </w:r>
      <w:r w:rsidRPr="00877549">
        <w:t>r</w:t>
      </w:r>
      <w:r w:rsidRPr="00877549">
        <w:t xml:space="preserve">eport to WRC-03 concluded that ESVs could protect other FSS networks so long as they complied with the off-axis e.i.r.p. limits given in Recommendation ITU-R S.524.  WRC-03 added a new footnote in Article 5 to clarify that ESVs be </w:t>
      </w:r>
      <w:r w:rsidR="009139C5">
        <w:t xml:space="preserve">considered as operating in the </w:t>
      </w:r>
      <w:r w:rsidRPr="00877549">
        <w:t>FSS:</w:t>
      </w:r>
    </w:p>
    <w:p w:rsidR="00631909" w:rsidRPr="00207DBD" w:rsidRDefault="00024962" w:rsidP="00B75A92">
      <w:pPr>
        <w:pStyle w:val="ECCParagraph"/>
        <w:ind w:left="720" w:right="708"/>
      </w:pPr>
      <w:r w:rsidRPr="00877549">
        <w:t>“</w:t>
      </w:r>
      <w:r w:rsidRPr="00877549">
        <w:rPr>
          <w:b/>
          <w:bCs/>
        </w:rPr>
        <w:t>5.457A</w:t>
      </w:r>
      <w:r w:rsidRPr="00877549">
        <w:t xml:space="preserve"> In the bands 5 925-6 425 MHz and 14.0-14.5 GHz, earth stations located on board vessels may communicate with space stations of the fixed-satellite service. Such use shall be in accordance with Resolution 902 (WRC-03).”</w:t>
      </w:r>
    </w:p>
    <w:p w:rsidR="00631909" w:rsidRDefault="00024962" w:rsidP="00E86D9A">
      <w:pPr>
        <w:pStyle w:val="ECCParagraph"/>
      </w:pPr>
      <w:r w:rsidRPr="00877549">
        <w:t>WRC-03 adopted Resolution 902</w:t>
      </w:r>
      <w:r w:rsidRPr="00877549">
        <w:t xml:space="preserve"> (WRC-03)</w:t>
      </w:r>
      <w:r w:rsidRPr="00877549">
        <w:t xml:space="preserve">, which included technical and operational constraints to avoid interference from ESVs into </w:t>
      </w:r>
      <w:r>
        <w:t>terrestrial</w:t>
      </w:r>
      <w:r w:rsidR="00AB617C">
        <w:t xml:space="preserve"> </w:t>
      </w:r>
      <w:r w:rsidRPr="00877549">
        <w:t>networks.</w:t>
      </w:r>
    </w:p>
    <w:p w:rsidR="00E86D9A" w:rsidRPr="00207DBD" w:rsidRDefault="00E86D9A" w:rsidP="00B75A92">
      <w:pPr>
        <w:pStyle w:val="ECCParagraph"/>
      </w:pPr>
      <w:r w:rsidRPr="00E86D9A">
        <w:t>Resolution 902</w:t>
      </w:r>
      <w:r>
        <w:t xml:space="preserve"> </w:t>
      </w:r>
      <w:r w:rsidRPr="00E86D9A">
        <w:t xml:space="preserve">is likely to be revised at WRC-15 under AI 1.8 of WRC-15 and </w:t>
      </w:r>
      <w:r>
        <w:t xml:space="preserve">Resolution </w:t>
      </w:r>
      <w:r w:rsidRPr="00E86D9A">
        <w:t>COM 6/14 of WRC-12.</w:t>
      </w:r>
      <w:r>
        <w:t xml:space="preserve"> There is no linkage of the Resolution 902 to the </w:t>
      </w:r>
      <w:proofErr w:type="spellStart"/>
      <w:r>
        <w:t>Ka</w:t>
      </w:r>
      <w:proofErr w:type="spellEnd"/>
      <w:r>
        <w:t xml:space="preserve"> Band and hence, no impact is expected on the ESOMP harmonisation measure within the CEPT. </w:t>
      </w:r>
    </w:p>
    <w:p w:rsidR="001D2AA3" w:rsidRPr="00877549" w:rsidRDefault="00024962">
      <w:pPr>
        <w:pStyle w:val="Titre3"/>
        <w:rPr>
          <w:lang w:val="en-GB"/>
        </w:rPr>
      </w:pPr>
      <w:bookmarkStart w:id="28" w:name="_Toc304823053"/>
      <w:bookmarkStart w:id="29" w:name="_Toc302118913"/>
      <w:bookmarkStart w:id="30" w:name="_Toc305681990"/>
      <w:bookmarkStart w:id="31" w:name="_Toc183171031"/>
      <w:r w:rsidRPr="00877549">
        <w:rPr>
          <w:lang w:val="en-GB"/>
        </w:rPr>
        <w:t>3.1.3</w:t>
      </w:r>
      <w:r w:rsidRPr="00877549">
        <w:rPr>
          <w:lang w:val="en-GB"/>
        </w:rPr>
        <w:tab/>
        <w:t>WRC-03 Decisions on HDFSS</w:t>
      </w:r>
      <w:bookmarkEnd w:id="28"/>
      <w:bookmarkEnd w:id="29"/>
      <w:bookmarkEnd w:id="30"/>
      <w:bookmarkEnd w:id="31"/>
    </w:p>
    <w:p w:rsidR="00631909" w:rsidRPr="00207DBD" w:rsidRDefault="00024962" w:rsidP="00AF63F6">
      <w:pPr>
        <w:pStyle w:val="ECCParagraph"/>
      </w:pPr>
      <w:r w:rsidRPr="00877549">
        <w:t xml:space="preserve">WRC-03 adopted Resolution </w:t>
      </w:r>
      <w:r w:rsidRPr="00877549">
        <w:rPr>
          <w:bCs/>
        </w:rPr>
        <w:t>143</w:t>
      </w:r>
      <w:r w:rsidRPr="00877549">
        <w:rPr>
          <w:bCs/>
        </w:rPr>
        <w:t>(Rev.WRC-07)</w:t>
      </w:r>
      <w:r w:rsidRPr="00877549">
        <w:t xml:space="preserve"> “Guidelines for the implementation of high-density applications in the fixed-satellite service in frequency bands identified for these applications”. As described by Resolution </w:t>
      </w:r>
      <w:r w:rsidRPr="00877549">
        <w:rPr>
          <w:bCs/>
        </w:rPr>
        <w:t>143</w:t>
      </w:r>
      <w:r w:rsidRPr="00877549">
        <w:t xml:space="preserve">, “HDFSS are characterized by flexible, rapid and ubiquitous deployment of large numbers of cost-optimized earth stations employing small antennas and having common technical characteristics.”  </w:t>
      </w:r>
    </w:p>
    <w:p w:rsidR="00631909" w:rsidRPr="00207DBD" w:rsidRDefault="00024962" w:rsidP="00AF63F6">
      <w:pPr>
        <w:pStyle w:val="ECCParagraph"/>
      </w:pPr>
      <w:r w:rsidRPr="00877549">
        <w:t xml:space="preserve">Resolution </w:t>
      </w:r>
      <w:r w:rsidRPr="00877549">
        <w:rPr>
          <w:bCs/>
        </w:rPr>
        <w:t>143</w:t>
      </w:r>
      <w:r w:rsidRPr="00877549">
        <w:t xml:space="preserve"> recognizes “that co-frequency sharing between transmitting HDFSS earth stations and terrestrial services is difficult in the same geographical area” and that administrations implementing HDFSS should take into account “that HDFSS deployment will be simplified in bands that are not shared with terrestrial services.”</w:t>
      </w:r>
    </w:p>
    <w:p w:rsidR="00631909" w:rsidRPr="00207DBD" w:rsidRDefault="00024962" w:rsidP="00964373">
      <w:pPr>
        <w:pStyle w:val="ECCParagraph"/>
      </w:pPr>
      <w:r w:rsidRPr="00877549">
        <w:lastRenderedPageBreak/>
        <w:t>WRC-03 adopted a footnote which identified bands for use by HDFSS:</w:t>
      </w:r>
    </w:p>
    <w:p w:rsidR="00631909" w:rsidRPr="00207DBD" w:rsidRDefault="00024962" w:rsidP="00964373">
      <w:pPr>
        <w:pStyle w:val="ECCParagraph"/>
        <w:ind w:left="720"/>
      </w:pPr>
      <w:r w:rsidRPr="00877549">
        <w:rPr>
          <w:b/>
        </w:rPr>
        <w:t xml:space="preserve">“5.516B </w:t>
      </w:r>
      <w:r w:rsidRPr="00877549">
        <w:t>the following bands are identified for use by high-density applications in the fixed-satellite service:</w:t>
      </w:r>
    </w:p>
    <w:p w:rsidR="00104CF2" w:rsidRDefault="00631909" w:rsidP="00877549">
      <w:pPr>
        <w:pStyle w:val="ECCParagraph"/>
        <w:spacing w:after="120"/>
        <w:ind w:left="1440"/>
      </w:pPr>
      <w:r w:rsidRPr="00207DBD">
        <w:t>17.3-17.7 GHz (space-to-Earth) in Region 1,</w:t>
      </w:r>
    </w:p>
    <w:p w:rsidR="00104CF2" w:rsidRDefault="00631909" w:rsidP="00877549">
      <w:pPr>
        <w:pStyle w:val="ECCParagraph"/>
        <w:spacing w:after="120"/>
        <w:ind w:left="1440"/>
      </w:pPr>
      <w:r w:rsidRPr="00207DBD">
        <w:t>18.3-19.3 GHz (space-to-Earth) in Region 2,</w:t>
      </w:r>
    </w:p>
    <w:p w:rsidR="00104CF2" w:rsidRDefault="00631909" w:rsidP="00877549">
      <w:pPr>
        <w:pStyle w:val="ECCParagraph"/>
        <w:spacing w:after="120"/>
        <w:ind w:left="1440"/>
      </w:pPr>
      <w:r w:rsidRPr="00207DBD">
        <w:t>19.7-20.2 GHz (space-to-Earth) in all Regions,</w:t>
      </w:r>
    </w:p>
    <w:p w:rsidR="00104CF2" w:rsidRDefault="00631909" w:rsidP="00877549">
      <w:pPr>
        <w:pStyle w:val="ECCParagraph"/>
        <w:spacing w:after="120"/>
        <w:ind w:left="1440"/>
      </w:pPr>
      <w:r w:rsidRPr="00207DBD">
        <w:t>39.5-40 GHz (space-to-Earth) in Region 1,</w:t>
      </w:r>
    </w:p>
    <w:p w:rsidR="00104CF2" w:rsidRDefault="00631909" w:rsidP="00877549">
      <w:pPr>
        <w:pStyle w:val="ECCParagraph"/>
        <w:spacing w:after="120"/>
        <w:ind w:left="1440"/>
      </w:pPr>
      <w:r w:rsidRPr="00207DBD">
        <w:t>40-40.5 GHz (space-to-Earth) in all Regions,</w:t>
      </w:r>
    </w:p>
    <w:p w:rsidR="00104CF2" w:rsidRDefault="00631909" w:rsidP="00877549">
      <w:pPr>
        <w:pStyle w:val="ECCParagraph"/>
        <w:spacing w:after="120"/>
        <w:ind w:left="1440"/>
      </w:pPr>
      <w:r w:rsidRPr="00207DBD">
        <w:t>40.5-42 GHz (space-to-Earth) in Region 2,</w:t>
      </w:r>
    </w:p>
    <w:p w:rsidR="00104CF2" w:rsidRDefault="00631909" w:rsidP="00877549">
      <w:pPr>
        <w:pStyle w:val="ECCParagraph"/>
        <w:spacing w:after="120"/>
        <w:ind w:left="1440"/>
      </w:pPr>
      <w:r w:rsidRPr="00207DBD">
        <w:t>47.5-47.9 GHz (space-to-Earth) in Region 1,</w:t>
      </w:r>
    </w:p>
    <w:p w:rsidR="00104CF2" w:rsidRDefault="00631909" w:rsidP="00877549">
      <w:pPr>
        <w:pStyle w:val="ECCParagraph"/>
        <w:spacing w:after="120"/>
        <w:ind w:left="1440"/>
      </w:pPr>
      <w:r w:rsidRPr="00207DBD">
        <w:t>48.2-48.54 GHz (space-to-Earth) in Region 1,</w:t>
      </w:r>
    </w:p>
    <w:p w:rsidR="00104CF2" w:rsidRDefault="00631909" w:rsidP="00877549">
      <w:pPr>
        <w:pStyle w:val="ECCParagraph"/>
        <w:spacing w:after="120"/>
        <w:ind w:left="1440"/>
      </w:pPr>
      <w:r w:rsidRPr="00207DBD">
        <w:t>49.44-50.2 GHz (space-to-Earth) in Region 1,</w:t>
      </w:r>
    </w:p>
    <w:p w:rsidR="00631909" w:rsidRPr="00207DBD" w:rsidRDefault="00024962" w:rsidP="00964373">
      <w:pPr>
        <w:pStyle w:val="ECCParagraph"/>
        <w:ind w:left="720"/>
      </w:pPr>
      <w:proofErr w:type="gramStart"/>
      <w:r w:rsidRPr="00877549">
        <w:t>and</w:t>
      </w:r>
      <w:proofErr w:type="gramEnd"/>
    </w:p>
    <w:p w:rsidR="00104CF2" w:rsidRDefault="00631909" w:rsidP="00877549">
      <w:pPr>
        <w:pStyle w:val="ECCParagraph"/>
        <w:spacing w:after="120"/>
        <w:ind w:left="1440"/>
      </w:pPr>
      <w:r w:rsidRPr="00207DBD">
        <w:t>27.5-27.82 GHz (Earth-to-space) in Region 1,</w:t>
      </w:r>
    </w:p>
    <w:p w:rsidR="00104CF2" w:rsidRDefault="00631909" w:rsidP="00877549">
      <w:pPr>
        <w:pStyle w:val="ECCParagraph"/>
        <w:spacing w:after="120"/>
        <w:ind w:left="1440"/>
      </w:pPr>
      <w:r w:rsidRPr="00207DBD">
        <w:t>28.35-28.45 GHz (Earth-to-space) in Region 2,</w:t>
      </w:r>
    </w:p>
    <w:p w:rsidR="00104CF2" w:rsidRDefault="00631909" w:rsidP="00877549">
      <w:pPr>
        <w:pStyle w:val="ECCParagraph"/>
        <w:spacing w:after="120"/>
        <w:ind w:left="1440"/>
      </w:pPr>
      <w:r w:rsidRPr="00207DBD">
        <w:t>28.45-28.94 GHz (Earth-to-space) in all Regions,</w:t>
      </w:r>
    </w:p>
    <w:p w:rsidR="00104CF2" w:rsidRDefault="00631909" w:rsidP="00877549">
      <w:pPr>
        <w:pStyle w:val="ECCParagraph"/>
        <w:spacing w:after="120"/>
        <w:ind w:left="1440"/>
      </w:pPr>
      <w:r w:rsidRPr="00207DBD">
        <w:t>28.94-29.1 GHz (Earth-to-space) in Region 2 and 3,</w:t>
      </w:r>
    </w:p>
    <w:p w:rsidR="00104CF2" w:rsidRDefault="00631909" w:rsidP="00877549">
      <w:pPr>
        <w:pStyle w:val="ECCParagraph"/>
        <w:spacing w:after="120"/>
        <w:ind w:left="1440"/>
      </w:pPr>
      <w:r w:rsidRPr="00207DBD">
        <w:t>29.25-29.46 GHz (Earth-to-space) in Region 2,</w:t>
      </w:r>
    </w:p>
    <w:p w:rsidR="00104CF2" w:rsidRDefault="00631909" w:rsidP="00877549">
      <w:pPr>
        <w:pStyle w:val="ECCParagraph"/>
        <w:spacing w:after="120"/>
        <w:ind w:left="1440"/>
      </w:pPr>
      <w:r w:rsidRPr="00207DBD">
        <w:t>29.46-30 GHz (Earth-to-space) in all Regions,</w:t>
      </w:r>
    </w:p>
    <w:p w:rsidR="00104CF2" w:rsidRDefault="00631909" w:rsidP="00877549">
      <w:pPr>
        <w:pStyle w:val="ECCParagraph"/>
        <w:spacing w:after="120"/>
        <w:ind w:left="1440"/>
      </w:pPr>
      <w:r w:rsidRPr="00207DBD">
        <w:t>48.2-50.2 GHz (Earth-to-space) in Region 2.</w:t>
      </w:r>
    </w:p>
    <w:p w:rsidR="00631909" w:rsidRPr="00207DBD" w:rsidRDefault="00024962" w:rsidP="00C0424A">
      <w:pPr>
        <w:pStyle w:val="ECCParagraph"/>
      </w:pPr>
      <w:r w:rsidRPr="00877549">
        <w:t xml:space="preserve">This identification does not preclude the use of these bands by other fixed-satellite service applications or by other services to which these bands are allocated on a co-primary basis and does not establish priority in these Radio Regulations among users of the bands. Administrations should take this into account when considering regulatory provisions in relation to these bands. </w:t>
      </w:r>
      <w:proofErr w:type="gramStart"/>
      <w:r w:rsidRPr="00877549">
        <w:t xml:space="preserve">See Resolution </w:t>
      </w:r>
      <w:r w:rsidRPr="00877549">
        <w:rPr>
          <w:bCs/>
        </w:rPr>
        <w:t>143</w:t>
      </w:r>
      <w:r w:rsidRPr="00877549">
        <w:t xml:space="preserve"> (WRC-03).”</w:t>
      </w:r>
      <w:proofErr w:type="gramEnd"/>
    </w:p>
    <w:p w:rsidR="00424543" w:rsidRPr="00207DBD" w:rsidRDefault="00424543" w:rsidP="00C0424A">
      <w:pPr>
        <w:pStyle w:val="ECCParagraph"/>
      </w:pPr>
    </w:p>
    <w:p w:rsidR="00424543" w:rsidRPr="00877549" w:rsidRDefault="00024962" w:rsidP="00424543">
      <w:pPr>
        <w:pStyle w:val="Titre3"/>
        <w:rPr>
          <w:lang w:val="en-GB"/>
        </w:rPr>
      </w:pPr>
      <w:r w:rsidRPr="00877549">
        <w:rPr>
          <w:lang w:val="en-GB"/>
        </w:rPr>
        <w:t>3.1.4</w:t>
      </w:r>
      <w:r w:rsidRPr="00877549">
        <w:rPr>
          <w:lang w:val="en-GB"/>
        </w:rPr>
        <w:tab/>
        <w:t>S</w:t>
      </w:r>
      <w:r w:rsidRPr="00024962">
        <w:rPr>
          <w:lang w:val="en-GB"/>
          <w:rPrChange w:id="32" w:author="Paul Deedman" w:date="2012-02-22T17:41:00Z">
            <w:rPr>
              <w:rFonts w:cs="Times New Roman"/>
              <w:b w:val="0"/>
              <w:bCs w:val="0"/>
              <w:szCs w:val="24"/>
              <w:vertAlign w:val="superscript"/>
              <w:lang w:val="en-GB"/>
            </w:rPr>
          </w:rPrChange>
        </w:rPr>
        <w:t xml:space="preserve">tudy </w:t>
      </w:r>
      <w:r w:rsidRPr="00877549">
        <w:rPr>
          <w:lang w:val="en-GB"/>
        </w:rPr>
        <w:t>G</w:t>
      </w:r>
      <w:r w:rsidRPr="00024962">
        <w:rPr>
          <w:lang w:val="en-GB"/>
          <w:rPrChange w:id="33" w:author="Paul Deedman" w:date="2012-02-22T17:41:00Z">
            <w:rPr>
              <w:rFonts w:cs="Times New Roman"/>
              <w:b w:val="0"/>
              <w:bCs w:val="0"/>
              <w:szCs w:val="24"/>
              <w:vertAlign w:val="superscript"/>
              <w:lang w:val="en-GB"/>
            </w:rPr>
          </w:rPrChange>
        </w:rPr>
        <w:t xml:space="preserve">roup </w:t>
      </w:r>
      <w:r w:rsidRPr="00877549">
        <w:rPr>
          <w:lang w:val="en-GB"/>
        </w:rPr>
        <w:t>4 Work on Ka-band ESOMPs</w:t>
      </w:r>
    </w:p>
    <w:p w:rsidR="00424543" w:rsidRPr="00877549" w:rsidRDefault="00024962" w:rsidP="00424543">
      <w:pPr>
        <w:pStyle w:val="ECCParagraph"/>
      </w:pPr>
      <w:r w:rsidRPr="00877549">
        <w:t>ITU-R SG-4 at its meeting on 29–30 Sep 2011 in Geneva adopted a draft new Report</w:t>
      </w:r>
      <w:r w:rsidR="00347E2D">
        <w:t xml:space="preserve"> </w:t>
      </w:r>
      <w:r w:rsidRPr="00877549">
        <w:t xml:space="preserve">ITU-R S.2223. This Report identifies the technical and operational requirements for the operation of ESOMPs in Ka-band FSS networks. </w:t>
      </w:r>
    </w:p>
    <w:p w:rsidR="00746818" w:rsidRPr="00877549" w:rsidRDefault="00024962" w:rsidP="00746818">
      <w:pPr>
        <w:pStyle w:val="Titre3"/>
        <w:rPr>
          <w:lang w:val="en-GB"/>
        </w:rPr>
      </w:pPr>
      <w:bookmarkStart w:id="34" w:name="_Toc304823054"/>
      <w:bookmarkStart w:id="35" w:name="_Toc183171032"/>
      <w:r w:rsidRPr="00877549">
        <w:rPr>
          <w:lang w:val="en-GB"/>
        </w:rPr>
        <w:t>3.2</w:t>
      </w:r>
      <w:r w:rsidRPr="00877549">
        <w:rPr>
          <w:lang w:val="en-GB"/>
        </w:rPr>
        <w:tab/>
        <w:t>CEPT</w:t>
      </w:r>
      <w:bookmarkEnd w:id="34"/>
      <w:bookmarkEnd w:id="35"/>
    </w:p>
    <w:p w:rsidR="00104CF2" w:rsidRDefault="00024962" w:rsidP="00877549">
      <w:pPr>
        <w:pStyle w:val="Titre3"/>
      </w:pPr>
      <w:proofErr w:type="gramStart"/>
      <w:r w:rsidRPr="00877549">
        <w:rPr>
          <w:lang w:val="en-GB"/>
        </w:rPr>
        <w:t>3.2.1  CEPT</w:t>
      </w:r>
      <w:proofErr w:type="gramEnd"/>
      <w:r w:rsidR="00347E2D">
        <w:rPr>
          <w:lang w:val="en-GB"/>
        </w:rPr>
        <w:t xml:space="preserve"> </w:t>
      </w:r>
      <w:r w:rsidRPr="00877549">
        <w:rPr>
          <w:lang w:val="en-GB"/>
        </w:rPr>
        <w:t>Regulatory Framework for HDFSS</w:t>
      </w:r>
    </w:p>
    <w:p w:rsidR="00631909" w:rsidRPr="00207DBD" w:rsidRDefault="00024962" w:rsidP="00605627">
      <w:pPr>
        <w:pStyle w:val="ECCParagraph"/>
      </w:pPr>
      <w:r w:rsidRPr="00877549">
        <w:t>As a result of the WRC-03 identification of bands for HDFSS, the ECC Decision (00)09 was replaced by ECC/DEC</w:t>
      </w:r>
      <w:proofErr w:type="gramStart"/>
      <w:r w:rsidRPr="00877549">
        <w:t>/(</w:t>
      </w:r>
      <w:proofErr w:type="gramEnd"/>
      <w:r w:rsidRPr="00877549">
        <w:t xml:space="preserve">05)01 which implements a band plan in the 27.5-29.5 GHz that segmented the band between FS and FSS. In addition, the ECC adopted </w:t>
      </w:r>
      <w:r w:rsidRPr="00877549">
        <w:lastRenderedPageBreak/>
        <w:t>ECC/DEC</w:t>
      </w:r>
      <w:proofErr w:type="gramStart"/>
      <w:r w:rsidRPr="00877549">
        <w:t>/(</w:t>
      </w:r>
      <w:proofErr w:type="gramEnd"/>
      <w:r w:rsidRPr="00877549">
        <w:t>05)08 which makes available for HDFSS deployment subject to market demand the following bands:</w:t>
      </w:r>
    </w:p>
    <w:p w:rsidR="00631909" w:rsidRPr="00207DBD" w:rsidRDefault="00024962" w:rsidP="00B75A92">
      <w:pPr>
        <w:pStyle w:val="ECCParagraph"/>
        <w:numPr>
          <w:ilvl w:val="0"/>
          <w:numId w:val="44"/>
        </w:numPr>
        <w:spacing w:after="120"/>
        <w:ind w:left="714" w:hanging="357"/>
      </w:pPr>
      <w:r w:rsidRPr="00877549">
        <w:t>17.3-17.7 GHz and 19.7-20.2 GHz bands (space-to-Earth)</w:t>
      </w:r>
      <w:r w:rsidR="009A3FE8">
        <w:t>;</w:t>
      </w:r>
    </w:p>
    <w:p w:rsidR="00631909" w:rsidRPr="00207DBD" w:rsidRDefault="00024962" w:rsidP="00B75A92">
      <w:pPr>
        <w:pStyle w:val="ECCParagraph"/>
        <w:numPr>
          <w:ilvl w:val="0"/>
          <w:numId w:val="44"/>
        </w:numPr>
        <w:spacing w:after="120"/>
        <w:ind w:left="714" w:hanging="357"/>
      </w:pPr>
      <w:r w:rsidRPr="00877549">
        <w:t>29.5-30.0 GHz band (Earth-to-space).</w:t>
      </w:r>
    </w:p>
    <w:p w:rsidR="00631909" w:rsidRPr="00207DBD" w:rsidRDefault="00024962" w:rsidP="00B75A92">
      <w:pPr>
        <w:pStyle w:val="ECCParagraph"/>
        <w:rPr>
          <w:bCs/>
        </w:rPr>
      </w:pPr>
      <w:r w:rsidRPr="00877549">
        <w:rPr>
          <w:bCs/>
        </w:rPr>
        <w:t xml:space="preserve">ECC/DEC(06)02 and ECC/DEC(06)03 were also developed, providing exemption from individual licensing of Low </w:t>
      </w:r>
      <w:proofErr w:type="spellStart"/>
      <w:r w:rsidRPr="00877549">
        <w:rPr>
          <w:bCs/>
        </w:rPr>
        <w:t>e.i.r.p</w:t>
      </w:r>
      <w:proofErr w:type="spellEnd"/>
      <w:r w:rsidRPr="00877549">
        <w:rPr>
          <w:bCs/>
        </w:rPr>
        <w:t xml:space="preserve">. </w:t>
      </w:r>
      <w:r w:rsidRPr="00877549">
        <w:rPr>
          <w:bCs/>
        </w:rPr>
        <w:t xml:space="preserve">Satellite Terminals (LESTs) and High </w:t>
      </w:r>
      <w:r w:rsidRPr="00877549">
        <w:rPr>
          <w:bCs/>
        </w:rPr>
        <w:t xml:space="preserve">e.i.r.p. </w:t>
      </w:r>
      <w:r w:rsidRPr="00877549">
        <w:rPr>
          <w:bCs/>
        </w:rPr>
        <w:t xml:space="preserve">Satellite Terminals (HESTs).  The exemption requires the terminals to have an </w:t>
      </w:r>
      <w:r w:rsidRPr="00877549">
        <w:rPr>
          <w:bCs/>
        </w:rPr>
        <w:t xml:space="preserve">e.i.r.p. </w:t>
      </w:r>
      <w:r w:rsidRPr="00877549">
        <w:rPr>
          <w:bCs/>
        </w:rPr>
        <w:t xml:space="preserve">not exceeding 34 </w:t>
      </w:r>
      <w:proofErr w:type="spellStart"/>
      <w:r w:rsidRPr="00877549">
        <w:rPr>
          <w:bCs/>
        </w:rPr>
        <w:t>dBW</w:t>
      </w:r>
      <w:proofErr w:type="spellEnd"/>
      <w:r w:rsidRPr="00877549">
        <w:rPr>
          <w:bCs/>
        </w:rPr>
        <w:t xml:space="preserve"> for LESTs and 50-60 dBW for HESTs.  </w:t>
      </w:r>
    </w:p>
    <w:p w:rsidR="00631909" w:rsidRPr="00207DBD" w:rsidRDefault="00024962" w:rsidP="00B75A92">
      <w:pPr>
        <w:pStyle w:val="ECCParagraph"/>
        <w:rPr>
          <w:bCs/>
        </w:rPr>
      </w:pPr>
      <w:r w:rsidRPr="00877549">
        <w:rPr>
          <w:bCs/>
        </w:rPr>
        <w:t xml:space="preserve">The LEST and HEST Decisions do not contain specific off-axis </w:t>
      </w:r>
      <w:r w:rsidRPr="00877549">
        <w:rPr>
          <w:bCs/>
        </w:rPr>
        <w:t xml:space="preserve">e.i.r.p. </w:t>
      </w:r>
      <w:r w:rsidRPr="00877549">
        <w:rPr>
          <w:bCs/>
        </w:rPr>
        <w:t xml:space="preserve">limits.  </w:t>
      </w:r>
      <w:r w:rsidR="00631909" w:rsidRPr="00207DBD">
        <w:rPr>
          <w:bCs/>
        </w:rPr>
        <w:t xml:space="preserve">Instead, they require compliance with </w:t>
      </w:r>
      <w:r w:rsidRPr="00877549">
        <w:rPr>
          <w:bCs/>
        </w:rPr>
        <w:t xml:space="preserve">EN 301 459 or EN 301 428 or equivalent technical specifications.  These standards contain requirements and test methods for ensuring compliance with the off-axis </w:t>
      </w:r>
      <w:r w:rsidRPr="00877549">
        <w:rPr>
          <w:bCs/>
        </w:rPr>
        <w:t xml:space="preserve">e.i.r.p. </w:t>
      </w:r>
      <w:r w:rsidRPr="00877549">
        <w:rPr>
          <w:bCs/>
        </w:rPr>
        <w:t>limits contained in Recommendation ITU-R S.524.</w:t>
      </w:r>
    </w:p>
    <w:p w:rsidR="00631909" w:rsidRDefault="00024962" w:rsidP="00B75A92">
      <w:pPr>
        <w:pStyle w:val="ECCParagraph"/>
        <w:rPr>
          <w:rFonts w:cs="Arial"/>
          <w:szCs w:val="20"/>
        </w:rPr>
      </w:pPr>
      <w:r w:rsidRPr="00877549">
        <w:rPr>
          <w:rFonts w:cs="Arial"/>
          <w:szCs w:val="20"/>
        </w:rPr>
        <w:t xml:space="preserve">By a Decision taken on 18 March 2005 (ECC/DEC/(05)01), the CEPT administrations, in conjunction with industry, decided to “segment” the frequency band 27.5-29.5 GHz between FS and FSS (uncoordinated FSS earth stations). The frequency bands 27.5-27.8285 GHz, 28.4445-28.8365 GHz and 29.4525-29.5 GHz are designated for the use of uncoordinated FSS earth stations (including transportable terminals). This represents 768 MHz for uncoordinated FSS earth stations: one block of 328.5 MHz, one block of 392 MHz and one block of 47.5 </w:t>
      </w:r>
      <w:proofErr w:type="spellStart"/>
      <w:r w:rsidRPr="00877549">
        <w:rPr>
          <w:rFonts w:cs="Arial"/>
          <w:szCs w:val="20"/>
        </w:rPr>
        <w:t>MHz</w:t>
      </w:r>
      <w:r w:rsidRPr="00877549">
        <w:rPr>
          <w:rFonts w:cs="Arial"/>
          <w:szCs w:val="20"/>
        </w:rPr>
        <w:t>.</w:t>
      </w:r>
      <w:proofErr w:type="spellEnd"/>
    </w:p>
    <w:p w:rsidR="000F2C88" w:rsidRPr="00207DBD" w:rsidRDefault="000F2C88" w:rsidP="00B75A92">
      <w:pPr>
        <w:pStyle w:val="ECCParagraph"/>
        <w:rPr>
          <w:rFonts w:cs="Arial"/>
          <w:szCs w:val="20"/>
        </w:rPr>
      </w:pPr>
      <w:r>
        <w:rPr>
          <w:rFonts w:cs="Arial"/>
          <w:szCs w:val="20"/>
        </w:rPr>
        <w:t xml:space="preserve">The band 17.3-17.7 GHz is globally allocated to the FSS (Earth-to-space) on a primary basis in the ITU Radio Regulations, limited to feeder links for the BSS and is subject to ITU Radio Regulations Appendix 30A. </w:t>
      </w:r>
      <w:r w:rsidRPr="000F2C88">
        <w:rPr>
          <w:rFonts w:cs="Arial"/>
          <w:szCs w:val="20"/>
        </w:rPr>
        <w:t>Regarding the potential impact from BSS feeder links (Earth-to-space) into FSS ESOMP (space-to-Earth), when for example an aircraft mounted ESOMP flies through a BSS feeder link beam</w:t>
      </w:r>
      <w:r>
        <w:rPr>
          <w:rFonts w:cs="Arial"/>
          <w:szCs w:val="20"/>
        </w:rPr>
        <w:t>,</w:t>
      </w:r>
      <w:r w:rsidRPr="000F2C88">
        <w:rPr>
          <w:rFonts w:cs="Arial"/>
          <w:szCs w:val="20"/>
        </w:rPr>
        <w:t xml:space="preserve"> </w:t>
      </w:r>
      <w:r>
        <w:rPr>
          <w:rFonts w:cs="Arial"/>
          <w:szCs w:val="20"/>
        </w:rPr>
        <w:t xml:space="preserve">ESOMP shall not claim protection from BSS feeder links </w:t>
      </w:r>
      <w:r w:rsidRPr="000F2C88">
        <w:rPr>
          <w:rFonts w:cs="Arial"/>
          <w:szCs w:val="20"/>
        </w:rPr>
        <w:t>and shall not put any constraints on BSS feeder links</w:t>
      </w:r>
      <w:r>
        <w:rPr>
          <w:rFonts w:cs="Arial"/>
          <w:szCs w:val="20"/>
        </w:rPr>
        <w:t xml:space="preserve"> (reference is made to footnote 5.516A)</w:t>
      </w:r>
      <w:r w:rsidRPr="000F2C88">
        <w:rPr>
          <w:rFonts w:cs="Arial"/>
          <w:szCs w:val="20"/>
        </w:rPr>
        <w:t>.</w:t>
      </w:r>
      <w:r>
        <w:rPr>
          <w:rFonts w:cs="Arial"/>
          <w:szCs w:val="20"/>
        </w:rPr>
        <w:t xml:space="preserve"> This is reflected in decides 4 of ECC Decision (05)08 for HDFSS.</w:t>
      </w:r>
    </w:p>
    <w:p w:rsidR="00631909" w:rsidRPr="00207DBD" w:rsidRDefault="00024962" w:rsidP="00B75A92">
      <w:pPr>
        <w:pStyle w:val="ECCParagraph"/>
        <w:rPr>
          <w:rFonts w:cs="Arial"/>
          <w:szCs w:val="20"/>
        </w:rPr>
      </w:pPr>
      <w:r w:rsidRPr="00877549">
        <w:rPr>
          <w:rFonts w:cs="Arial"/>
          <w:szCs w:val="20"/>
        </w:rPr>
        <w:t xml:space="preserve">The frequency band 28.8365-28.9485 GHz is designated for the use of uncoordinated FSS earth stations without prejudice to the FS systems licensed in this band in some countries before the date of adoption of this Decision. This represents an additional 112 MHz within which no new FS stations can be deployed except in countries which make use of Decides 2) and 4) of ECC/DEC/(05)01. </w:t>
      </w:r>
    </w:p>
    <w:p w:rsidR="00631909" w:rsidRPr="00207DBD" w:rsidRDefault="00024962" w:rsidP="00072962">
      <w:pPr>
        <w:pStyle w:val="ECCParagraph"/>
        <w:rPr>
          <w:rFonts w:cs="Arial"/>
          <w:szCs w:val="20"/>
        </w:rPr>
      </w:pPr>
      <w:r w:rsidRPr="00877549">
        <w:rPr>
          <w:rFonts w:cs="Arial"/>
          <w:szCs w:val="20"/>
        </w:rPr>
        <w:t xml:space="preserve">As of February 2012, </w:t>
      </w:r>
      <w:r w:rsidRPr="00877549">
        <w:rPr>
          <w:rFonts w:cs="Arial"/>
          <w:szCs w:val="20"/>
        </w:rPr>
        <w:t xml:space="preserve">this Decision has been declared as having been implemented by 23 CEPT administrations (4 </w:t>
      </w:r>
      <w:r w:rsidRPr="00877549">
        <w:rPr>
          <w:rFonts w:cs="Arial"/>
          <w:i/>
          <w:iCs/>
          <w:szCs w:val="20"/>
        </w:rPr>
        <w:t>Not Implemented</w:t>
      </w:r>
      <w:r w:rsidRPr="00877549">
        <w:rPr>
          <w:rFonts w:cs="Arial"/>
          <w:szCs w:val="20"/>
        </w:rPr>
        <w:t xml:space="preserve">, 5 </w:t>
      </w:r>
      <w:r w:rsidRPr="00877549">
        <w:rPr>
          <w:rFonts w:cs="Arial"/>
          <w:i/>
          <w:iCs/>
          <w:szCs w:val="20"/>
        </w:rPr>
        <w:t xml:space="preserve">Implementation </w:t>
      </w:r>
      <w:proofErr w:type="gramStart"/>
      <w:r w:rsidRPr="00877549">
        <w:rPr>
          <w:rFonts w:cs="Arial"/>
          <w:i/>
          <w:iCs/>
          <w:szCs w:val="20"/>
        </w:rPr>
        <w:t>Under</w:t>
      </w:r>
      <w:proofErr w:type="gramEnd"/>
      <w:r w:rsidRPr="00877549">
        <w:rPr>
          <w:rFonts w:cs="Arial"/>
          <w:i/>
          <w:iCs/>
          <w:szCs w:val="20"/>
        </w:rPr>
        <w:t xml:space="preserve"> Study</w:t>
      </w:r>
      <w:r w:rsidRPr="00877549">
        <w:rPr>
          <w:rFonts w:cs="Arial"/>
          <w:szCs w:val="20"/>
        </w:rPr>
        <w:t xml:space="preserve">, 16 </w:t>
      </w:r>
      <w:r w:rsidRPr="00877549">
        <w:rPr>
          <w:rFonts w:cs="Arial"/>
          <w:i/>
          <w:iCs/>
          <w:szCs w:val="20"/>
        </w:rPr>
        <w:t>No Information</w:t>
      </w:r>
      <w:r w:rsidRPr="00877549">
        <w:rPr>
          <w:rFonts w:cs="Arial"/>
          <w:szCs w:val="20"/>
        </w:rPr>
        <w:t>). Given the transnational nature of satellite services, these satellite systems cannot be deployed in CEPT unless a major part of the CEPT administrations implement ECC/DEC/(05)01.</w:t>
      </w:r>
    </w:p>
    <w:p w:rsidR="001D2AA3" w:rsidRPr="00877549" w:rsidRDefault="00024962">
      <w:pPr>
        <w:pStyle w:val="Titre3"/>
        <w:rPr>
          <w:lang w:val="en-GB"/>
        </w:rPr>
      </w:pPr>
      <w:bookmarkStart w:id="36" w:name="_Toc304823055"/>
      <w:bookmarkStart w:id="37" w:name="_Toc304824688"/>
      <w:bookmarkStart w:id="38" w:name="_Toc304823056"/>
      <w:bookmarkStart w:id="39" w:name="_Toc302118914"/>
      <w:bookmarkStart w:id="40" w:name="_Toc305681993"/>
      <w:bookmarkStart w:id="41" w:name="_Toc183171033"/>
      <w:bookmarkEnd w:id="36"/>
      <w:bookmarkEnd w:id="37"/>
      <w:r w:rsidRPr="00877549">
        <w:rPr>
          <w:lang w:val="en-GB"/>
        </w:rPr>
        <w:t>3.2.</w:t>
      </w:r>
      <w:r w:rsidR="00E86D9A">
        <w:rPr>
          <w:lang w:val="en-GB"/>
        </w:rPr>
        <w:t>2</w:t>
      </w:r>
      <w:r w:rsidRPr="00877549">
        <w:rPr>
          <w:lang w:val="en-GB"/>
        </w:rPr>
        <w:tab/>
        <w:t>CEPT Regulatory Framework for AESs and ESVs</w:t>
      </w:r>
      <w:bookmarkEnd w:id="38"/>
      <w:bookmarkEnd w:id="39"/>
      <w:bookmarkEnd w:id="40"/>
      <w:bookmarkEnd w:id="41"/>
    </w:p>
    <w:p w:rsidR="00631909" w:rsidRPr="00207DBD" w:rsidRDefault="00024962" w:rsidP="00B75A92">
      <w:pPr>
        <w:pStyle w:val="ECCParagraph"/>
      </w:pPr>
      <w:r w:rsidRPr="00877549">
        <w:t xml:space="preserve">Under established international law, national sovereignty over radio spectrum resources extends above the national territory up to the limits of the atmosphere.  Any aeronautical </w:t>
      </w:r>
      <w:r w:rsidRPr="00877549">
        <w:t>e</w:t>
      </w:r>
      <w:r w:rsidRPr="00877549">
        <w:t xml:space="preserve">arth station operating over the territory of a country must therefore be duly authorized by that country. Under maritime law, national sovereignty extends out 12 nautical miles from </w:t>
      </w:r>
      <w:r w:rsidRPr="00877549">
        <w:lastRenderedPageBreak/>
        <w:t xml:space="preserve">the low-water mark of the coast. Similarly, any </w:t>
      </w:r>
      <w:r w:rsidRPr="00877549">
        <w:t>e</w:t>
      </w:r>
      <w:r w:rsidRPr="00877549">
        <w:t>arth stations on vessels operating in territorial waters must also be duly authorized.</w:t>
      </w:r>
    </w:p>
    <w:p w:rsidR="00631909" w:rsidRPr="00207DBD" w:rsidRDefault="00024962" w:rsidP="00072962">
      <w:pPr>
        <w:pStyle w:val="ECCParagraph"/>
      </w:pPr>
      <w:r w:rsidRPr="00877549">
        <w:t xml:space="preserve">Three ECC Decisions were adopted following WRC-03 to allow for the free circulation of aircraft </w:t>
      </w:r>
      <w:r w:rsidRPr="00877549">
        <w:t>e</w:t>
      </w:r>
      <w:r w:rsidRPr="00877549">
        <w:t>arth stations and ESVs.  ECC/DEC</w:t>
      </w:r>
      <w:proofErr w:type="gramStart"/>
      <w:r w:rsidRPr="00877549">
        <w:t>/(</w:t>
      </w:r>
      <w:proofErr w:type="gramEnd"/>
      <w:r w:rsidRPr="00877549">
        <w:t xml:space="preserve">05)09 and ECC/DEC/(05)10 were adopted for C- and Ku-bands ESVs while ECC/DEC/(05)11 was adopted for Ku-band aircraft </w:t>
      </w:r>
      <w:r w:rsidRPr="00877549">
        <w:t>e</w:t>
      </w:r>
      <w:r w:rsidRPr="00877549">
        <w:t xml:space="preserve">arth stations (AESs). </w:t>
      </w:r>
    </w:p>
    <w:p w:rsidR="00631909" w:rsidRPr="00207DBD" w:rsidRDefault="00024962" w:rsidP="00B75A92">
      <w:pPr>
        <w:pStyle w:val="ECCParagraph"/>
        <w:rPr>
          <w:rFonts w:cs="Arial"/>
          <w:szCs w:val="20"/>
        </w:rPr>
      </w:pPr>
      <w:r w:rsidRPr="00877549">
        <w:t xml:space="preserve">All three ECC Decisions adopted technical, operational and regulatory requirements that ensured that the ESVs and AESs had the same interference characteristics as a typical uncoordinated FSS </w:t>
      </w:r>
      <w:r w:rsidRPr="00877549">
        <w:t>e</w:t>
      </w:r>
      <w:r w:rsidRPr="00877549">
        <w:t xml:space="preserve">arth station. Since the adoption of these ECC Decisions, hundreds of ESVs and AESs have operated successfully in European waters and airspace. Similar conditions could be adopted and applied to the terminals operating on mobile platforms in the parts of the </w:t>
      </w:r>
      <w:r w:rsidRPr="00877549">
        <w:rPr>
          <w:rFonts w:cs="Arial"/>
          <w:szCs w:val="20"/>
        </w:rPr>
        <w:t>Ka-band identified for uncoordinated FSS operations</w:t>
      </w:r>
      <w:r w:rsidRPr="00877549">
        <w:rPr>
          <w:rFonts w:cs="Arial"/>
          <w:szCs w:val="20"/>
        </w:rPr>
        <w:t>.</w:t>
      </w:r>
    </w:p>
    <w:p w:rsidR="00104CF2" w:rsidRDefault="00024962" w:rsidP="00877549">
      <w:pPr>
        <w:pStyle w:val="Titre3"/>
      </w:pPr>
      <w:bookmarkStart w:id="42" w:name="_Toc304823057"/>
      <w:bookmarkStart w:id="43" w:name="_Toc302118915"/>
      <w:bookmarkStart w:id="44" w:name="_Toc305681994"/>
      <w:bookmarkStart w:id="45" w:name="_Toc183171034"/>
      <w:r w:rsidRPr="00877549">
        <w:rPr>
          <w:lang w:val="en-GB"/>
        </w:rPr>
        <w:t>3.2.</w:t>
      </w:r>
      <w:r w:rsidR="00E86D9A">
        <w:rPr>
          <w:lang w:val="en-GB"/>
        </w:rPr>
        <w:t>3</w:t>
      </w:r>
      <w:r w:rsidRPr="00877549">
        <w:rPr>
          <w:lang w:val="en-GB"/>
        </w:rPr>
        <w:tab/>
        <w:t>Applicability of Previous Frameworks to ESOMPs in Ka-band</w:t>
      </w:r>
      <w:bookmarkEnd w:id="42"/>
      <w:bookmarkEnd w:id="43"/>
      <w:bookmarkEnd w:id="44"/>
      <w:bookmarkEnd w:id="45"/>
    </w:p>
    <w:p w:rsidR="00746818" w:rsidRPr="00207DBD" w:rsidRDefault="00024962" w:rsidP="00746818">
      <w:pPr>
        <w:pStyle w:val="ECCParagraph"/>
      </w:pPr>
      <w:r w:rsidRPr="00877549">
        <w:t xml:space="preserve">The previous frameworks adopted for </w:t>
      </w:r>
      <w:r w:rsidR="000543D1">
        <w:t xml:space="preserve">AESs and ESVs in </w:t>
      </w:r>
      <w:r w:rsidR="00631909" w:rsidRPr="00207DBD">
        <w:t xml:space="preserve">C- and Ka-band only apply to GSO FSS. </w:t>
      </w:r>
    </w:p>
    <w:p w:rsidR="00631909" w:rsidRPr="00207DBD" w:rsidRDefault="00024962" w:rsidP="00B75A92">
      <w:pPr>
        <w:pStyle w:val="ECCParagraph"/>
      </w:pPr>
      <w:r w:rsidRPr="00877549">
        <w:t xml:space="preserve">ESOMPs for GSO systems operating in the Ka-band present a sharing environment similar to that found in the 14.0-14.5 GHz band for AMSS, ESV and VSAT networks.  Each of these types of networks is characterized by large numbers of small, technically identical </w:t>
      </w:r>
      <w:r w:rsidRPr="00877549">
        <w:t>e</w:t>
      </w:r>
      <w:r w:rsidRPr="00877549">
        <w:t>arth stations which are not coordinated on an individual basis.</w:t>
      </w:r>
    </w:p>
    <w:p w:rsidR="00631909" w:rsidRPr="00207DBD" w:rsidRDefault="00024962" w:rsidP="00B75A92">
      <w:pPr>
        <w:pStyle w:val="ECCParagraph"/>
      </w:pPr>
      <w:r w:rsidRPr="00877549">
        <w:t xml:space="preserve">Earth stations on mobile platforms are also similarto AMSS, ESV and VSAT networks in that sharing between such </w:t>
      </w:r>
      <w:r w:rsidRPr="00877549">
        <w:t>e</w:t>
      </w:r>
      <w:r w:rsidRPr="00877549">
        <w:t xml:space="preserve">arth stations and co-frequency FS networks which are located in the same geographic area is difficult for the three types of </w:t>
      </w:r>
      <w:r w:rsidRPr="00877549">
        <w:t>e</w:t>
      </w:r>
      <w:r w:rsidRPr="00877549">
        <w:t>arth stations because they could be located anywhere within the operational area of such an FS network.</w:t>
      </w:r>
    </w:p>
    <w:p w:rsidR="00323F7F" w:rsidRPr="00207DBD" w:rsidRDefault="00024962" w:rsidP="00C46614">
      <w:pPr>
        <w:pStyle w:val="ECCParagraph"/>
      </w:pPr>
      <w:r w:rsidRPr="00877549">
        <w:t xml:space="preserve">Technical, operational and regulatory requirements have been adopted within the ITU-R to ensure that the ESVs and AESs operating between 14.0 </w:t>
      </w:r>
      <w:r w:rsidRPr="00877549">
        <w:t xml:space="preserve">GHz </w:t>
      </w:r>
      <w:r w:rsidRPr="00877549">
        <w:t xml:space="preserve">and 14.5 GHz have the same interference characteristics as typical FSS </w:t>
      </w:r>
      <w:r w:rsidRPr="00877549">
        <w:t>e</w:t>
      </w:r>
      <w:r w:rsidRPr="00877549">
        <w:t>arth stations.</w:t>
      </w:r>
      <w:r w:rsidRPr="00877549">
        <w:rPr>
          <w:rFonts w:cs="Arial"/>
          <w:szCs w:val="20"/>
        </w:rPr>
        <w:t xml:space="preserve"> Regulators have ensured that Ku-band ESVs and AESs operate only in bands which have no use or limited use by terrestrial services.</w:t>
      </w:r>
      <w:r w:rsidRPr="00877549">
        <w:t xml:space="preserve"> Since the adoption of these regulations, hundreds of AESs and ESVs have operated successfully worldwide on aircraft and ships.</w:t>
      </w:r>
    </w:p>
    <w:p w:rsidR="00631909" w:rsidRPr="00207DBD" w:rsidRDefault="00024962" w:rsidP="00C46614">
      <w:pPr>
        <w:pStyle w:val="ECCParagraph"/>
        <w:rPr>
          <w:rFonts w:cs="Arial"/>
          <w:szCs w:val="20"/>
        </w:rPr>
      </w:pPr>
      <w:r w:rsidRPr="00877549">
        <w:t xml:space="preserve">Taking into account the success of the previous ECC Decisions, a similar regulatory framework could be adopted in the Ka-band. </w:t>
      </w:r>
      <w:r w:rsidRPr="00877549">
        <w:rPr>
          <w:szCs w:val="20"/>
        </w:rPr>
        <w:t>The suggested Ka-band frequencies within which ESOMPs may operate are those identified for uncoordinated FSS earth stations, such as those identified in ECC Decision ECC/DEC/(05)01 and ECC/DEC(05)08, thereby limiting potential interference to terrestrial services only to some instances of cross-border interference</w:t>
      </w:r>
      <w:r w:rsidRPr="00877549">
        <w:t xml:space="preserve">. Any technical requirements needed to prevent the risk of unacceptable interference to other services should be developed to ensure that </w:t>
      </w:r>
      <w:r w:rsidRPr="00024962">
        <w:rPr>
          <w:rPrChange w:id="46" w:author="Paul Deedman" w:date="2012-02-22T17:41:00Z">
            <w:rPr>
              <w:b/>
              <w:bCs/>
              <w:iCs/>
              <w:caps/>
              <w:sz w:val="20"/>
              <w:szCs w:val="20"/>
              <w:vertAlign w:val="superscript"/>
              <w:lang w:eastAsia="fr-FR"/>
            </w:rPr>
          </w:rPrChange>
        </w:rPr>
        <w:t>ESOMPs</w:t>
      </w:r>
      <w:r w:rsidR="00347E2D">
        <w:t xml:space="preserve"> </w:t>
      </w:r>
      <w:r w:rsidRPr="00024962">
        <w:rPr>
          <w:rPrChange w:id="47" w:author="Paul Deedman" w:date="2012-02-22T17:41:00Z">
            <w:rPr>
              <w:b/>
              <w:bCs/>
              <w:iCs/>
              <w:caps/>
              <w:sz w:val="20"/>
              <w:szCs w:val="20"/>
              <w:vertAlign w:val="superscript"/>
              <w:lang w:eastAsia="fr-FR"/>
            </w:rPr>
          </w:rPrChange>
        </w:rPr>
        <w:t xml:space="preserve">operating </w:t>
      </w:r>
      <w:r w:rsidRPr="00877549">
        <w:t xml:space="preserve">in the </w:t>
      </w:r>
      <w:r w:rsidRPr="00877549">
        <w:rPr>
          <w:rFonts w:cs="Arial"/>
          <w:szCs w:val="20"/>
        </w:rPr>
        <w:t xml:space="preserve">Ka-band </w:t>
      </w:r>
      <w:r w:rsidRPr="00024962">
        <w:rPr>
          <w:rFonts w:cs="Arial"/>
          <w:szCs w:val="20"/>
          <w:rPrChange w:id="48" w:author="Paul Deedman" w:date="2012-02-22T17:41:00Z">
            <w:rPr>
              <w:rFonts w:cs="Arial"/>
              <w:b/>
              <w:bCs/>
              <w:iCs/>
              <w:caps/>
              <w:sz w:val="20"/>
              <w:szCs w:val="20"/>
              <w:vertAlign w:val="superscript"/>
              <w:lang w:eastAsia="fr-FR"/>
            </w:rPr>
          </w:rPrChange>
        </w:rPr>
        <w:t xml:space="preserve">frequencies </w:t>
      </w:r>
      <w:r w:rsidRPr="00877549">
        <w:rPr>
          <w:rFonts w:cs="Arial"/>
          <w:szCs w:val="20"/>
        </w:rPr>
        <w:t xml:space="preserve">identified for uncoordinated FSS operations have </w:t>
      </w:r>
      <w:r w:rsidRPr="00877549">
        <w:t xml:space="preserve">the equivalent interference characteristics as typical uncoordinated FSS </w:t>
      </w:r>
      <w:r w:rsidRPr="00024962">
        <w:rPr>
          <w:rPrChange w:id="49" w:author="Paul Deedman" w:date="2012-02-22T17:41:00Z">
            <w:rPr>
              <w:b/>
              <w:bCs/>
              <w:iCs/>
              <w:caps/>
              <w:sz w:val="20"/>
              <w:szCs w:val="20"/>
              <w:vertAlign w:val="superscript"/>
              <w:lang w:eastAsia="fr-FR"/>
            </w:rPr>
          </w:rPrChange>
        </w:rPr>
        <w:t>e</w:t>
      </w:r>
      <w:r w:rsidRPr="00877549">
        <w:t>arth stations and do not cause unacceptable interference to any terrestrial services operating in the same bands</w:t>
      </w:r>
      <w:r w:rsidRPr="00877549">
        <w:rPr>
          <w:rFonts w:cs="Arial"/>
          <w:szCs w:val="20"/>
        </w:rPr>
        <w:t>.</w:t>
      </w:r>
    </w:p>
    <w:p w:rsidR="00EE3829" w:rsidRPr="00207DBD" w:rsidRDefault="00EE3829" w:rsidP="00530A0D">
      <w:pPr>
        <w:pStyle w:val="ECCParagraph"/>
        <w:rPr>
          <w:bCs/>
        </w:rPr>
      </w:pPr>
    </w:p>
    <w:p w:rsidR="00631909" w:rsidRDefault="00631909" w:rsidP="00E71582">
      <w:pPr>
        <w:pStyle w:val="ECCParagraph"/>
      </w:pPr>
      <w:r w:rsidRPr="00207DBD">
        <w:lastRenderedPageBreak/>
        <w:t xml:space="preserve">Any regulatory framework adopted in these bands to accommodate ESOMPs should </w:t>
      </w:r>
      <w:r w:rsidR="0053626D">
        <w:t xml:space="preserve">also </w:t>
      </w:r>
      <w:r w:rsidR="003737B6" w:rsidRPr="00207DBD">
        <w:t xml:space="preserve">ensure that it does not prejudice </w:t>
      </w:r>
      <w:r w:rsidR="00024962" w:rsidRPr="00877549">
        <w:t xml:space="preserve">the use of these bands by other FSS </w:t>
      </w:r>
      <w:r w:rsidR="00024962" w:rsidRPr="00024962">
        <w:rPr>
          <w:rPrChange w:id="50" w:author="UK" w:date="2012-03-07T14:54:00Z">
            <w:rPr>
              <w:color w:val="365F91" w:themeColor="accent1" w:themeShade="BF"/>
            </w:rPr>
          </w:rPrChange>
        </w:rPr>
        <w:t xml:space="preserve">and terrestrial </w:t>
      </w:r>
      <w:r w:rsidR="00024962" w:rsidRPr="00877549">
        <w:t>applications.</w:t>
      </w:r>
    </w:p>
    <w:p w:rsidR="000F2C88" w:rsidRPr="00207DBD" w:rsidRDefault="000F2C88" w:rsidP="00E71582">
      <w:pPr>
        <w:pStyle w:val="ECCParagraph"/>
      </w:pPr>
    </w:p>
    <w:p w:rsidR="00631909" w:rsidRPr="00207DBD" w:rsidRDefault="00024962" w:rsidP="00C46614">
      <w:pPr>
        <w:pStyle w:val="Titre1"/>
      </w:pPr>
      <w:r w:rsidRPr="00877549">
        <w:t>considerations about the operation of esomps in fss networks</w:t>
      </w:r>
    </w:p>
    <w:p w:rsidR="00631909" w:rsidRPr="00207DBD" w:rsidRDefault="00024962" w:rsidP="00D00A86">
      <w:pPr>
        <w:pStyle w:val="ECCParagraph"/>
      </w:pPr>
      <w:r w:rsidRPr="00877549">
        <w:t xml:space="preserve">In considering what regulatory provisions should be adopted for ESOMPs, several options were available. One option was to treat ESOMPs as an application in the Mobile Satellite Service (MSS), which would need a new MSS allocation in the FSS band(s).   Another was to change the definition of FSS to include service to mobile platforms. A third option, which has been finally endorsed, was to treat ESOMPs as an application in the FSS. ESOMPs represent one of many examples of service convergence that CEPT administrations are confronting. In the past, any </w:t>
      </w:r>
      <w:r w:rsidRPr="00877549">
        <w:t>e</w:t>
      </w:r>
      <w:r w:rsidRPr="00877549">
        <w:t xml:space="preserve">arth station that moved while transmitting was considered to be part of the Mobile Satellite Service (MSS).  Historically, there were significant technical differences between the MSS and FSS.  MSS antennas were often non-directional, making co-frequency sharing with other MSS systems difficult.  MSS systems operated in distinct bands that were much lower in frequency than FSS systems.  Changes in technology have allowed ESOMPs to operate in bands allocated to the FSS.  </w:t>
      </w:r>
    </w:p>
    <w:p w:rsidR="00D00A86" w:rsidRPr="00207DBD" w:rsidRDefault="00024962" w:rsidP="00D00A86">
      <w:pPr>
        <w:pStyle w:val="ECCParagraph"/>
      </w:pPr>
      <w:r w:rsidRPr="00877549">
        <w:t xml:space="preserve">The issue of convergence is a serious matter for CEPT administrations to consider since it is raised both in satellite and terrestrial services.  The approach adopted by the ECC for ESOMPs should be neutral to both existing and new users. The ECC should also strive to the extent possible to adopt a consistent approach both for satellite and terrestrial services.  </w:t>
      </w:r>
    </w:p>
    <w:p w:rsidR="00631909" w:rsidRPr="00207DBD" w:rsidRDefault="00024962" w:rsidP="00530A0D">
      <w:pPr>
        <w:pStyle w:val="ECCParagraph"/>
      </w:pPr>
      <w:r w:rsidRPr="00877549">
        <w:t xml:space="preserve">Regarding the </w:t>
      </w:r>
      <w:r w:rsidRPr="00877549">
        <w:t xml:space="preserve">service </w:t>
      </w:r>
      <w:r w:rsidRPr="00877549">
        <w:t>classification of ESOMPs, several considerations should be taken into account:</w:t>
      </w:r>
    </w:p>
    <w:p w:rsidR="00631909" w:rsidRPr="00207DBD" w:rsidRDefault="00024962" w:rsidP="00530A0D">
      <w:pPr>
        <w:pStyle w:val="ECCParBulleted"/>
        <w:numPr>
          <w:ilvl w:val="0"/>
          <w:numId w:val="46"/>
        </w:numPr>
        <w:spacing w:after="120"/>
        <w:ind w:left="714" w:hanging="357"/>
      </w:pPr>
      <w:r w:rsidRPr="00877549">
        <w:t>ESOMPs are assumed to be designed and operated in compliance with the existing rules for FSS.  No rules (such as off-axis EIRP limits) exist for MSS in bands above 17 GHz, making implementation as MSS problematic;</w:t>
      </w:r>
    </w:p>
    <w:p w:rsidR="00631909" w:rsidRPr="00207DBD" w:rsidRDefault="00024962" w:rsidP="00530A0D">
      <w:pPr>
        <w:pStyle w:val="ECCParBulleted"/>
        <w:numPr>
          <w:ilvl w:val="0"/>
          <w:numId w:val="46"/>
        </w:numPr>
        <w:spacing w:after="120"/>
        <w:ind w:left="714" w:hanging="357"/>
      </w:pPr>
      <w:r w:rsidRPr="00877549">
        <w:t>Requiring compliance with existing FSS rules provides FSS operators with certainty that existing systems will be protected;</w:t>
      </w:r>
    </w:p>
    <w:p w:rsidR="00D94877" w:rsidRDefault="00024962">
      <w:pPr>
        <w:pStyle w:val="ECCParBulleted"/>
        <w:numPr>
          <w:ilvl w:val="0"/>
          <w:numId w:val="46"/>
        </w:numPr>
        <w:spacing w:after="120"/>
        <w:ind w:left="714" w:hanging="357"/>
      </w:pPr>
      <w:r w:rsidRPr="00877549">
        <w:t>While MSS allocations exist in the bands above 17 GHz, the majority of these are secondary allocations or reserved for non-civilian applications.  In Region 1 / Europe 2</w:t>
      </w:r>
      <w:r w:rsidRPr="00877549">
        <w:t>x</w:t>
      </w:r>
      <w:r w:rsidRPr="00877549">
        <w:t xml:space="preserve">100 MHz of co-primary spectrum for MSS is available at 29.9 – 30.0 GHz / 20.1 – 20.2 GHz. These allocations are not considered adequate by ESOMP system operators for four reasons: </w:t>
      </w:r>
    </w:p>
    <w:p w:rsidR="00D94877" w:rsidRDefault="00024962" w:rsidP="00877549">
      <w:pPr>
        <w:pStyle w:val="ECCParBulleted"/>
        <w:numPr>
          <w:ilvl w:val="1"/>
          <w:numId w:val="46"/>
        </w:numPr>
        <w:spacing w:after="120"/>
      </w:pPr>
      <w:r w:rsidRPr="00877549">
        <w:t xml:space="preserve">1) </w:t>
      </w:r>
      <w:proofErr w:type="gramStart"/>
      <w:r w:rsidRPr="00877549">
        <w:t>if</w:t>
      </w:r>
      <w:proofErr w:type="gramEnd"/>
      <w:r w:rsidRPr="00877549">
        <w:t xml:space="preserve"> ESOMP networks were required to operate only in the 2x100 MHz allocated to the MSS on a co-primary basis with the FSS, the result would in any case be that they should coordinate with existing and future FSS networks, leading to the same technical constraints as if they were treated as FSS.  Hence, there is no benefit to other services or systems by operating ESOMPs in a smaller frequency band; </w:t>
      </w:r>
    </w:p>
    <w:p w:rsidR="00D94877" w:rsidRDefault="00024962" w:rsidP="00877549">
      <w:pPr>
        <w:pStyle w:val="ECCParBulleted"/>
        <w:numPr>
          <w:ilvl w:val="1"/>
          <w:numId w:val="46"/>
        </w:numPr>
        <w:spacing w:after="120"/>
      </w:pPr>
      <w:r w:rsidRPr="00877549">
        <w:rPr>
          <w:color w:val="1F497D"/>
        </w:rPr>
        <w:t>2)</w:t>
      </w:r>
      <w:r w:rsidRPr="00877549">
        <w:t xml:space="preserve"> </w:t>
      </w:r>
      <w:proofErr w:type="gramStart"/>
      <w:r w:rsidRPr="00877549">
        <w:t>the</w:t>
      </w:r>
      <w:proofErr w:type="gramEnd"/>
      <w:r w:rsidRPr="00877549">
        <w:t xml:space="preserve"> key-feature of the systems that are planned to be launched soon is that they will be capable of offering to European citizens travelling on mobile </w:t>
      </w:r>
      <w:r w:rsidRPr="00877549">
        <w:lastRenderedPageBreak/>
        <w:t xml:space="preserve">platforms connectivity and network performance similar to those they can experience with terrestrial wired and wireless solutions, where data rates of up to 100 Mbit/s are planned. If only 2x100 MHz were available, allowing for the need to assign different frequencies in adjacent beams, only a few 10s of MHz could be made available in each beam, shared among multiple users within it. To allow data rates comparable to terrestrial systems in a satellite system, with sufficient users to support the business case for a satellite network, at least 2x500 MHz of available spectrum, would be required. </w:t>
      </w:r>
    </w:p>
    <w:p w:rsidR="00D94877" w:rsidRDefault="00024962" w:rsidP="00877549">
      <w:pPr>
        <w:pStyle w:val="ECCParBulleted"/>
        <w:numPr>
          <w:ilvl w:val="1"/>
          <w:numId w:val="46"/>
        </w:numPr>
        <w:spacing w:after="120"/>
      </w:pPr>
      <w:r w:rsidRPr="00877549">
        <w:t xml:space="preserve">3) The capital and operating costs of an ESOMP network operating in 2x100 MHz would be similar to those for an ESOMP network operating in, for example, 2x500 MHz. However the capacity of the system (in terms of number of users of comparable data requirements) is increased five-fold. Hence, the cost of the service to end users is significantly lowered if the system can operate in a larger frequency band, benefiting both the operator and the end users. </w:t>
      </w:r>
    </w:p>
    <w:p w:rsidR="00631909" w:rsidRPr="00207DBD" w:rsidRDefault="00024962" w:rsidP="00877549">
      <w:pPr>
        <w:pStyle w:val="ECCParBulleted"/>
        <w:numPr>
          <w:ilvl w:val="1"/>
          <w:numId w:val="46"/>
        </w:numPr>
        <w:spacing w:after="120"/>
      </w:pPr>
      <w:r w:rsidRPr="00877549">
        <w:t xml:space="preserve">4) All systems currently planning to provide ESOMP services in Europe would be capable of operating at least in 2x500 MHz spectrum. </w:t>
      </w:r>
    </w:p>
    <w:p w:rsidR="00631909" w:rsidRPr="00207DBD" w:rsidRDefault="00024962" w:rsidP="00A75FD8">
      <w:pPr>
        <w:pStyle w:val="ECCParBulleted"/>
        <w:numPr>
          <w:ilvl w:val="0"/>
          <w:numId w:val="46"/>
        </w:numPr>
        <w:spacing w:after="120"/>
        <w:ind w:left="714" w:hanging="357"/>
      </w:pPr>
      <w:r w:rsidRPr="00877549">
        <w:t xml:space="preserve">Treating ESOMPs as FSS provides ESOMP operators and regulators with a well-established and proven set of rules for authorizing these </w:t>
      </w:r>
      <w:r w:rsidRPr="00877549">
        <w:t>e</w:t>
      </w:r>
      <w:r w:rsidRPr="00877549">
        <w:t>arth stations.</w:t>
      </w:r>
    </w:p>
    <w:p w:rsidR="00631909" w:rsidRPr="00207DBD" w:rsidRDefault="00024962" w:rsidP="00A75FD8">
      <w:pPr>
        <w:pStyle w:val="ECCParBulleted"/>
        <w:numPr>
          <w:ilvl w:val="0"/>
          <w:numId w:val="46"/>
        </w:numPr>
        <w:spacing w:after="120"/>
        <w:ind w:left="714" w:hanging="357"/>
      </w:pPr>
      <w:bookmarkStart w:id="51" w:name="_Toc304823062"/>
      <w:bookmarkStart w:id="52" w:name="_Toc305681999"/>
      <w:r w:rsidRPr="00877549">
        <w:t xml:space="preserve">GSO </w:t>
      </w:r>
      <w:bookmarkStart w:id="53" w:name="_Toc302118918"/>
      <w:r w:rsidRPr="00877549">
        <w:t xml:space="preserve">ESOMPs must comply with same off-axis EIRP limits as typical uncoordinated FSS </w:t>
      </w:r>
      <w:r w:rsidRPr="00877549">
        <w:t>e</w:t>
      </w:r>
      <w:r w:rsidRPr="00877549">
        <w:t>arth stations</w:t>
      </w:r>
      <w:bookmarkEnd w:id="51"/>
      <w:bookmarkEnd w:id="52"/>
      <w:bookmarkEnd w:id="53"/>
    </w:p>
    <w:p w:rsidR="00631909" w:rsidRPr="00207DBD" w:rsidRDefault="00024962" w:rsidP="00A75FD8">
      <w:pPr>
        <w:pStyle w:val="ECCParBulleted"/>
        <w:numPr>
          <w:ilvl w:val="0"/>
          <w:numId w:val="46"/>
        </w:numPr>
        <w:spacing w:after="120"/>
        <w:ind w:left="714" w:hanging="357"/>
      </w:pPr>
      <w:r w:rsidRPr="00877549">
        <w:t xml:space="preserve">In many planned networks, ESOMPs will operate on the same networks and frequencies as stationary </w:t>
      </w:r>
      <w:r w:rsidRPr="00877549">
        <w:t>e</w:t>
      </w:r>
      <w:r w:rsidRPr="00877549">
        <w:t xml:space="preserve">arth stations. If ESOMPs are classified as MSS and stationary </w:t>
      </w:r>
      <w:r w:rsidRPr="00877549">
        <w:t>e</w:t>
      </w:r>
      <w:r w:rsidRPr="00877549">
        <w:t>arth stations are classified as FSS, there may be situations where terminals using the same network and frequencies must comply with different rules simply because one type is in motion and the other is not.</w:t>
      </w:r>
    </w:p>
    <w:p w:rsidR="00631909" w:rsidRPr="00207DBD" w:rsidRDefault="00024962" w:rsidP="00A75FD8">
      <w:pPr>
        <w:pStyle w:val="ECCParagraph"/>
      </w:pPr>
      <w:r w:rsidRPr="00877549">
        <w:t xml:space="preserve">Therefore, so long as GSO ESOMPs on an aggregate basis per GSO network are designed and operated in compliance with the same requirements (such as off-axis EIRP limits) placed on uncoordinated FSS </w:t>
      </w:r>
      <w:r w:rsidRPr="00877549">
        <w:t>e</w:t>
      </w:r>
      <w:r w:rsidRPr="00877549">
        <w:t xml:space="preserve">arth stations, no sharing issues exist between ESOMPs and other FSS networks. Within the CEPT framework, this means that ESOMPs may be treated as typical uncoordinated FSS </w:t>
      </w:r>
      <w:r w:rsidRPr="00877549">
        <w:t>e</w:t>
      </w:r>
      <w:r w:rsidRPr="00877549">
        <w:t>arth stations and operate in bands available to them.</w:t>
      </w:r>
    </w:p>
    <w:p w:rsidR="00746818" w:rsidRPr="00877549" w:rsidRDefault="00024962" w:rsidP="00746818">
      <w:pPr>
        <w:pStyle w:val="Titre1"/>
      </w:pPr>
      <w:r w:rsidRPr="00877549">
        <w:t>technical considerations on esomps</w:t>
      </w:r>
    </w:p>
    <w:p w:rsidR="001D2AA3" w:rsidRPr="00207DBD" w:rsidRDefault="00024962">
      <w:pPr>
        <w:pStyle w:val="Titre2"/>
      </w:pPr>
      <w:bookmarkStart w:id="54" w:name="_Toc304823063"/>
      <w:bookmarkStart w:id="55" w:name="_Toc302118919"/>
      <w:bookmarkStart w:id="56" w:name="_Toc305682000"/>
      <w:bookmarkStart w:id="57" w:name="_Toc183171038"/>
      <w:r w:rsidRPr="00877549">
        <w:t>5.1</w:t>
      </w:r>
      <w:r w:rsidRPr="00877549">
        <w:tab/>
        <w:t>Sharing with FS - Difference Between Typical Uncoordinated FSS Earth Stations and ESOMPs</w:t>
      </w:r>
      <w:bookmarkEnd w:id="54"/>
      <w:bookmarkEnd w:id="55"/>
      <w:bookmarkEnd w:id="56"/>
      <w:bookmarkEnd w:id="57"/>
    </w:p>
    <w:p w:rsidR="00631909" w:rsidRPr="00207DBD" w:rsidRDefault="00024962" w:rsidP="00A75FD8">
      <w:pPr>
        <w:pStyle w:val="ECCParagraph"/>
      </w:pPr>
      <w:r w:rsidRPr="00877549">
        <w:t xml:space="preserve">As a general consideration, it should be noticed that the work done within both the ITU-R and CEPT has shown that co-frequency sharing between uncoordinated FSS </w:t>
      </w:r>
      <w:r w:rsidRPr="00877549">
        <w:t>e</w:t>
      </w:r>
      <w:r w:rsidRPr="00877549">
        <w:t xml:space="preserve">arth stations and terrestrial networks in the same geographic area is difficult to accomplish.  The same conclusion holds true for ESOMPs.  Since implementation of ESOMPs is only contemplated in bands where uncoordinated FSS </w:t>
      </w:r>
      <w:r w:rsidRPr="00877549">
        <w:t>e</w:t>
      </w:r>
      <w:r w:rsidRPr="00877549">
        <w:t xml:space="preserve">arth stations are allowed, however, ESOMPs should not represent any increased interference risk to FS </w:t>
      </w:r>
      <w:r w:rsidRPr="00877549">
        <w:t>or mobile service (MS)</w:t>
      </w:r>
      <w:r>
        <w:t xml:space="preserve"> </w:t>
      </w:r>
      <w:r w:rsidRPr="00877549">
        <w:t xml:space="preserve">networks beyond that presented by uncoordinated FSS </w:t>
      </w:r>
      <w:r w:rsidRPr="00877549">
        <w:t>e</w:t>
      </w:r>
      <w:r w:rsidRPr="00877549">
        <w:t xml:space="preserve">arth stations.  If administrations conclude that implementation of uncoordinated FSS </w:t>
      </w:r>
      <w:r w:rsidRPr="00877549">
        <w:t>e</w:t>
      </w:r>
      <w:r w:rsidRPr="00877549">
        <w:t xml:space="preserve">arth stations is </w:t>
      </w:r>
      <w:r w:rsidRPr="00877549">
        <w:lastRenderedPageBreak/>
        <w:t xml:space="preserve">permissible in a band, introduction of GSO ESOMPs in the same band should not raise any additional interference concern to FS </w:t>
      </w:r>
      <w:r w:rsidRPr="00877549">
        <w:t>or MS</w:t>
      </w:r>
      <w:r w:rsidR="00AB617C">
        <w:t xml:space="preserve"> </w:t>
      </w:r>
      <w:r w:rsidRPr="00877549">
        <w:t>networks.</w:t>
      </w:r>
    </w:p>
    <w:p w:rsidR="00631909" w:rsidRPr="00207DBD" w:rsidRDefault="00024962" w:rsidP="00A75FD8">
      <w:pPr>
        <w:pStyle w:val="ECCParagraph"/>
      </w:pPr>
      <w:r w:rsidRPr="00877549">
        <w:t>There is the possibility that neighbouring countries could implement different allocations in the 27.5-29.5 GHz and 17.3-19.7 GHz bands either to uncoordinated FSS or to FS applications.  The aim of this section is therefore to address any sharing issue that could arise from such a scenario.</w:t>
      </w:r>
    </w:p>
    <w:p w:rsidR="001D2AA3" w:rsidRPr="00877549" w:rsidRDefault="00024962">
      <w:pPr>
        <w:pStyle w:val="Titre3"/>
        <w:rPr>
          <w:sz w:val="20"/>
          <w:szCs w:val="20"/>
          <w:lang w:val="en-GB"/>
        </w:rPr>
      </w:pPr>
      <w:bookmarkStart w:id="58" w:name="_Toc304823064"/>
      <w:bookmarkStart w:id="59" w:name="_Toc302118920"/>
      <w:bookmarkStart w:id="60" w:name="_Toc305682001"/>
      <w:bookmarkStart w:id="61" w:name="_Toc183171039"/>
      <w:r w:rsidRPr="00877549">
        <w:rPr>
          <w:sz w:val="20"/>
          <w:szCs w:val="20"/>
          <w:lang w:val="en-GB"/>
        </w:rPr>
        <w:t>5.1.1</w:t>
      </w:r>
      <w:r w:rsidRPr="00877549">
        <w:rPr>
          <w:sz w:val="20"/>
          <w:szCs w:val="20"/>
          <w:lang w:val="en-GB"/>
        </w:rPr>
        <w:tab/>
        <w:t>ESOMPS INSTALLED ON LAND PLATFORMS</w:t>
      </w:r>
      <w:bookmarkEnd w:id="58"/>
      <w:bookmarkEnd w:id="59"/>
      <w:bookmarkEnd w:id="60"/>
      <w:bookmarkEnd w:id="61"/>
    </w:p>
    <w:p w:rsidR="00631909" w:rsidRPr="00207DBD" w:rsidDel="00516E71" w:rsidRDefault="00024962" w:rsidP="00A75FD8">
      <w:pPr>
        <w:pStyle w:val="ECCParagraph"/>
      </w:pPr>
      <w:r w:rsidRPr="00877549">
        <w:t xml:space="preserve">ESOMPs installed on r land platforms do not differ substantially from typical uncoordinated stationary FSS stations. It should be noticed that Recommendation ITU-R SF.1707 already provides methods and means to facilitate the implementation of large numbers of </w:t>
      </w:r>
      <w:r w:rsidRPr="00877549">
        <w:t>e</w:t>
      </w:r>
      <w:r w:rsidRPr="00877549">
        <w:t>arth stations operating in the fixed-satellite service (FSS) in areas where terrestrial services are also deployed. This Recommendation could therefore be considered a basis for coordination procedures between neighbouring administrations implementing different allocations in this band.</w:t>
      </w:r>
    </w:p>
    <w:p w:rsidR="00631909" w:rsidRPr="00877549" w:rsidRDefault="00024962" w:rsidP="00530A0D">
      <w:pPr>
        <w:pStyle w:val="ECCParagraph"/>
      </w:pPr>
      <w:r w:rsidRPr="00877549">
        <w:t xml:space="preserve">Section </w:t>
      </w:r>
      <w:r w:rsidRPr="00877549">
        <w:rPr>
          <w:highlight w:val="yellow"/>
        </w:rPr>
        <w:t>7</w:t>
      </w:r>
      <w:r w:rsidRPr="00877549">
        <w:t xml:space="preserve"> of this document provides an overview of a possible approach for resolving cross-border coordination requirements.</w:t>
      </w:r>
    </w:p>
    <w:p w:rsidR="00AB617C" w:rsidRPr="00877549" w:rsidRDefault="00024962" w:rsidP="00AB617C">
      <w:pPr>
        <w:pStyle w:val="Titre3"/>
        <w:rPr>
          <w:sz w:val="20"/>
          <w:szCs w:val="20"/>
          <w:lang w:val="en-GB"/>
        </w:rPr>
      </w:pPr>
      <w:bookmarkStart w:id="62" w:name="_Toc304823065"/>
      <w:bookmarkStart w:id="63" w:name="_Toc302118921"/>
      <w:bookmarkStart w:id="64" w:name="_Toc305682002"/>
      <w:bookmarkStart w:id="65" w:name="_Toc183171040"/>
      <w:r w:rsidRPr="00877549">
        <w:rPr>
          <w:sz w:val="20"/>
          <w:szCs w:val="20"/>
          <w:lang w:val="en-GB"/>
        </w:rPr>
        <w:t>5.1.2</w:t>
      </w:r>
      <w:r w:rsidRPr="00877549">
        <w:rPr>
          <w:sz w:val="20"/>
          <w:szCs w:val="20"/>
          <w:lang w:val="en-GB"/>
        </w:rPr>
        <w:tab/>
        <w:t>ESOMPS INSTALLED ON MARITIME PLATFORMS</w:t>
      </w:r>
    </w:p>
    <w:p w:rsidR="00104CF2" w:rsidRDefault="00024962" w:rsidP="00877549">
      <w:pPr>
        <w:pStyle w:val="ECCParagraph"/>
      </w:pPr>
      <w:r w:rsidRPr="00877549">
        <w:t>ESOMPs on vessels or other mobile maritime platforms have the potential to cause interference to any FS or MS applications deployed in parts of the band 27.5-29.5 GHz.  FS or MS systems operating near the coast could receive interference from a maritime ESOMP, which could be operating in the territorial waters of another administration, or in non territorial waters</w:t>
      </w:r>
      <w:r w:rsidR="00AB617C" w:rsidRPr="001E777F">
        <w:t xml:space="preserve"> (i.e. beyond 12nm from the low-water mark of the concerned administration)</w:t>
      </w:r>
      <w:r w:rsidRPr="00877549">
        <w:t>.</w:t>
      </w:r>
    </w:p>
    <w:p w:rsidR="00104CF2" w:rsidRDefault="00024962" w:rsidP="00877549">
      <w:pPr>
        <w:pStyle w:val="ECCParagraph"/>
      </w:pPr>
      <w:r w:rsidRPr="00877549">
        <w:t>A pfd threshold combined with a suitable mandatory automatic mechanism to regulate the ESOMP power, at a given position, could be developed that would apply to the coast of a country and would provide adequate protection to FS</w:t>
      </w:r>
      <w:r w:rsidR="00AB617C">
        <w:t xml:space="preserve"> </w:t>
      </w:r>
      <w:r w:rsidRPr="009A3FE8">
        <w:t>or MS systems deployed.  The pfd</w:t>
      </w:r>
      <w:r w:rsidRPr="00877549">
        <w:t xml:space="preserve"> threshold could be exceeded only if the concerned administration agreed.  The ESOMP would be able to take into account its </w:t>
      </w:r>
      <w:r w:rsidR="00AB617C" w:rsidRPr="001E777F">
        <w:t xml:space="preserve">actual </w:t>
      </w:r>
      <w:r w:rsidRPr="00877549">
        <w:t xml:space="preserve">antenna </w:t>
      </w:r>
      <w:r w:rsidR="00AB617C" w:rsidRPr="001E777F">
        <w:t xml:space="preserve">gain pattern, its </w:t>
      </w:r>
      <w:r w:rsidRPr="00877549">
        <w:t xml:space="preserve">pointing and transmitter power to comply with the </w:t>
      </w:r>
      <w:proofErr w:type="spellStart"/>
      <w:r w:rsidRPr="00877549">
        <w:t>pfd</w:t>
      </w:r>
      <w:proofErr w:type="spellEnd"/>
      <w:r w:rsidRPr="00877549">
        <w:t xml:space="preserve"> threshold</w:t>
      </w:r>
      <w:r w:rsidR="000C33BD">
        <w:t>.</w:t>
      </w:r>
    </w:p>
    <w:p w:rsidR="00173D8F" w:rsidRDefault="00173D8F" w:rsidP="00877549">
      <w:pPr>
        <w:pStyle w:val="ECCParagraph"/>
      </w:pPr>
      <w:r>
        <w:t xml:space="preserve">It is </w:t>
      </w:r>
      <w:r w:rsidRPr="00173D8F">
        <w:t>recommend</w:t>
      </w:r>
      <w:r>
        <w:t>ed</w:t>
      </w:r>
      <w:r w:rsidRPr="00173D8F">
        <w:t xml:space="preserve"> to use a </w:t>
      </w:r>
      <w:proofErr w:type="spellStart"/>
      <w:r w:rsidRPr="00173D8F">
        <w:t>pfd</w:t>
      </w:r>
      <w:proofErr w:type="spellEnd"/>
      <w:r w:rsidRPr="00173D8F">
        <w:t xml:space="preserve"> threshold at the coastline, taking the same method and assumptions as in </w:t>
      </w:r>
      <w:r>
        <w:t>R</w:t>
      </w:r>
      <w:r w:rsidRPr="00173D8F">
        <w:t>ecommendation ITU-R SF.1650 dealing with ESV in the bands 5 925 – 6 425 MHz and 14 – 14.5 GHz.</w:t>
      </w:r>
    </w:p>
    <w:p w:rsidR="00D94877" w:rsidRDefault="00173D8F" w:rsidP="00877549">
      <w:pPr>
        <w:pStyle w:val="ECCParagraph"/>
      </w:pPr>
      <w:r>
        <w:t>In the case of ESOMPs operating in the band 27.5-29.5 GHz, this</w:t>
      </w:r>
      <w:r w:rsidR="00D94877" w:rsidRPr="00D94877">
        <w:t xml:space="preserve"> </w:t>
      </w:r>
      <w:proofErr w:type="spellStart"/>
      <w:r w:rsidR="00D94877" w:rsidRPr="00D94877">
        <w:t>pfd</w:t>
      </w:r>
      <w:proofErr w:type="spellEnd"/>
      <w:r w:rsidR="00D94877" w:rsidRPr="00D94877">
        <w:t xml:space="preserve"> threshold </w:t>
      </w:r>
      <w:r>
        <w:t xml:space="preserve">is </w:t>
      </w:r>
      <w:r w:rsidR="00D94877" w:rsidRPr="00D94877">
        <w:t xml:space="preserve">– 109 </w:t>
      </w:r>
      <w:proofErr w:type="spellStart"/>
      <w:r w:rsidR="00D94877" w:rsidRPr="00D94877">
        <w:t>dBW</w:t>
      </w:r>
      <w:proofErr w:type="spellEnd"/>
      <w:r w:rsidR="00D94877" w:rsidRPr="00D94877">
        <w:t xml:space="preserve">/m² expressed in a reference bandwidth of 14 MHz at a height of 20 m above sea level. In addition, the percentage of time that should be used in the propagation model when assessing compliance with this </w:t>
      </w:r>
      <w:proofErr w:type="spellStart"/>
      <w:r w:rsidR="00D94877" w:rsidRPr="00D94877">
        <w:t>pfd</w:t>
      </w:r>
      <w:proofErr w:type="spellEnd"/>
      <w:r w:rsidR="00D94877" w:rsidRPr="00D94877">
        <w:t xml:space="preserve"> threshold should be 0.007%.</w:t>
      </w:r>
    </w:p>
    <w:p w:rsidR="00104CF2" w:rsidRDefault="00024962" w:rsidP="00877549">
      <w:pPr>
        <w:pStyle w:val="ECCParagraph"/>
      </w:pPr>
      <w:r w:rsidRPr="00877549">
        <w:t>The actual frequency ranges used by administrations for FS applications would need to be identified and made available to the operators of maritime ESOMPs so that any pfd restrictions are applied only on the necessary frequencies.</w:t>
      </w:r>
    </w:p>
    <w:p w:rsidR="001D2AA3" w:rsidRPr="00877549" w:rsidRDefault="00024962">
      <w:pPr>
        <w:pStyle w:val="Titre3"/>
        <w:rPr>
          <w:sz w:val="20"/>
          <w:szCs w:val="20"/>
          <w:lang w:val="en-GB"/>
        </w:rPr>
      </w:pPr>
      <w:r w:rsidRPr="00877549">
        <w:rPr>
          <w:sz w:val="20"/>
          <w:szCs w:val="20"/>
          <w:lang w:val="en-GB"/>
        </w:rPr>
        <w:lastRenderedPageBreak/>
        <w:t>5.1.</w:t>
      </w:r>
      <w:r w:rsidRPr="00877549">
        <w:rPr>
          <w:sz w:val="20"/>
          <w:szCs w:val="20"/>
          <w:lang w:val="en-GB"/>
        </w:rPr>
        <w:t>3</w:t>
      </w:r>
      <w:r w:rsidRPr="00877549">
        <w:rPr>
          <w:sz w:val="20"/>
          <w:szCs w:val="20"/>
          <w:lang w:val="en-GB"/>
        </w:rPr>
        <w:tab/>
        <w:t>AIRCRAFT-MOUNTED ESOMPS</w:t>
      </w:r>
      <w:bookmarkEnd w:id="62"/>
      <w:bookmarkEnd w:id="63"/>
      <w:bookmarkEnd w:id="64"/>
      <w:bookmarkEnd w:id="65"/>
    </w:p>
    <w:p w:rsidR="00631909" w:rsidRPr="00207DBD" w:rsidRDefault="00024962" w:rsidP="00530A0D">
      <w:pPr>
        <w:pStyle w:val="ECCParagraph"/>
      </w:pPr>
      <w:r w:rsidRPr="00877549">
        <w:t xml:space="preserve">ESOMPs installed on aircrafts should be treated differently, because of the particular geometrical scenario in which they operate. Actually, since the </w:t>
      </w:r>
      <w:r w:rsidRPr="00877549">
        <w:t>e</w:t>
      </w:r>
      <w:r w:rsidRPr="00877549">
        <w:t>arth station is normally not operating on the ground, but at a higher altitude</w:t>
      </w:r>
      <w:r w:rsidR="00F8579A">
        <w:rPr>
          <w:rStyle w:val="Appelnotedebasdep"/>
          <w:rFonts w:ascii="Times New Roman" w:hAnsi="Times New Roman"/>
        </w:rPr>
        <w:footnoteReference w:id="4"/>
      </w:r>
      <w:r w:rsidRPr="00877549">
        <w:t xml:space="preserve">, the same cross-border sharing considerations as for other types of </w:t>
      </w:r>
      <w:r w:rsidRPr="00877549">
        <w:t>e</w:t>
      </w:r>
      <w:r w:rsidRPr="00877549">
        <w:t>arth stations cannot be applied to aircraft-mounted terminals.</w:t>
      </w:r>
    </w:p>
    <w:p w:rsidR="00631909" w:rsidRDefault="00024962" w:rsidP="00530A0D">
      <w:pPr>
        <w:pStyle w:val="ECCParagraph"/>
      </w:pPr>
      <w:commentRangeStart w:id="66"/>
      <w:r w:rsidRPr="00024962">
        <w:rPr>
          <w:rPrChange w:id="67" w:author="UK" w:date="2012-03-07T14:39:00Z">
            <w:rPr>
              <w:rFonts w:cs="Arial"/>
              <w:b/>
              <w:bCs/>
              <w:szCs w:val="26"/>
              <w:lang w:val="en-US"/>
            </w:rPr>
          </w:rPrChange>
        </w:rPr>
        <w:t>[</w:t>
      </w:r>
      <w:r w:rsidRPr="00877549">
        <w:t>There are currently ongoing studies addressing this matter and provisional results seem to indicate that in the worst case scenario, and when considering FS stations with characteristics reflecting real deployed networks, aircraft-mounted ESOMPs operating at an altitude higher than a certain limit do not cause and do not suffer from any harmful interference, either when the aircraft is flying near or over a country which has allowed the deployment of FS networks operating in the same band.</w:t>
      </w:r>
    </w:p>
    <w:p w:rsidR="00173D8F" w:rsidRPr="00207DBD" w:rsidRDefault="005B4D1B" w:rsidP="00530A0D">
      <w:pPr>
        <w:pStyle w:val="ECCParagraph"/>
      </w:pPr>
      <w:r>
        <w:t>[</w:t>
      </w:r>
      <w:r w:rsidR="00173D8F">
        <w:t>Another study [ref] suggested that there was the potential for interference into the FS which could be significantly above the threshold for harmful interference</w:t>
      </w:r>
      <w:r>
        <w:t>]</w:t>
      </w:r>
    </w:p>
    <w:p w:rsidR="00631909" w:rsidRPr="00207DBD" w:rsidRDefault="00024962" w:rsidP="00530A0D">
      <w:pPr>
        <w:pStyle w:val="ECCParagraph"/>
      </w:pPr>
      <w:r w:rsidRPr="00877549">
        <w:t xml:space="preserve">It should also be noticed that </w:t>
      </w:r>
      <w:r w:rsidR="00412442">
        <w:t xml:space="preserve">when the ESOMP terminal is operating with the maximum allowed </w:t>
      </w:r>
      <w:proofErr w:type="spellStart"/>
      <w:r w:rsidR="007233EF">
        <w:t>e.i.r.p</w:t>
      </w:r>
      <w:proofErr w:type="spellEnd"/>
      <w:r w:rsidR="007233EF">
        <w:t>.</w:t>
      </w:r>
      <w:r w:rsidR="00412442">
        <w:t xml:space="preserve">, </w:t>
      </w:r>
      <w:r w:rsidRPr="00877549">
        <w:t>the provis</w:t>
      </w:r>
      <w:r w:rsidR="00412442">
        <w:t>i</w:t>
      </w:r>
      <w:r w:rsidRPr="00877549">
        <w:t xml:space="preserve">onal </w:t>
      </w:r>
      <w:proofErr w:type="spellStart"/>
      <w:r w:rsidRPr="00877549">
        <w:t>pfd</w:t>
      </w:r>
      <w:proofErr w:type="spellEnd"/>
      <w:r w:rsidR="00AB617C">
        <w:t xml:space="preserve"> </w:t>
      </w:r>
      <w:r w:rsidRPr="00877549">
        <w:t xml:space="preserve">threshold is </w:t>
      </w:r>
      <w:r w:rsidRPr="00877549">
        <w:t xml:space="preserve">met </w:t>
      </w:r>
      <w:r w:rsidR="00412442">
        <w:t xml:space="preserve">down to a certain aircraft altitude, well </w:t>
      </w:r>
      <w:r w:rsidRPr="00877549">
        <w:t xml:space="preserve">below </w:t>
      </w:r>
      <w:r w:rsidR="00412442">
        <w:t xml:space="preserve">that of the cruise phase of </w:t>
      </w:r>
      <w:r w:rsidRPr="00877549">
        <w:t xml:space="preserve">a typical </w:t>
      </w:r>
      <w:r w:rsidR="00412442">
        <w:t>flight</w:t>
      </w:r>
      <w:r w:rsidRPr="00877549">
        <w:t>; therefore, the provisional results suggest that interference may occur only during the take-off and landing phases of a flight.</w:t>
      </w:r>
    </w:p>
    <w:p w:rsidR="00631909" w:rsidRPr="00207DBD" w:rsidRDefault="00024962" w:rsidP="00530A0D">
      <w:pPr>
        <w:pStyle w:val="ECCParagraph"/>
      </w:pPr>
      <w:r w:rsidRPr="00877549">
        <w:t>A possible cross-border coordination approach covering this type of ESOMPs is then discussed in Section 7 of this document.</w:t>
      </w:r>
      <w:r w:rsidRPr="00024962">
        <w:rPr>
          <w:rPrChange w:id="68" w:author="UK" w:date="2012-03-07T14:40:00Z">
            <w:rPr>
              <w:rFonts w:cs="Arial"/>
              <w:b/>
              <w:bCs/>
              <w:szCs w:val="26"/>
              <w:lang w:val="en-US"/>
            </w:rPr>
          </w:rPrChange>
        </w:rPr>
        <w:t>]</w:t>
      </w:r>
      <w:commentRangeEnd w:id="66"/>
      <w:r w:rsidR="005B4D1B">
        <w:rPr>
          <w:rStyle w:val="Marquedecommentaire"/>
          <w:lang w:val="en-US"/>
        </w:rPr>
        <w:commentReference w:id="66"/>
      </w:r>
    </w:p>
    <w:p w:rsidR="00631909" w:rsidRPr="00877549" w:rsidRDefault="00024962" w:rsidP="00343253">
      <w:pPr>
        <w:pStyle w:val="ECCParagraph"/>
      </w:pPr>
      <w:r w:rsidRPr="00877549">
        <w:rPr>
          <w:i/>
        </w:rPr>
        <w:t>[Comment: this section will need to be revised to reflect the conclusions of the studies in SE40 on aircraft-mounted ESOMPs]</w:t>
      </w:r>
    </w:p>
    <w:p w:rsidR="00631909" w:rsidRPr="00877549" w:rsidRDefault="00631909" w:rsidP="00530A0D">
      <w:pPr>
        <w:pStyle w:val="ECCParagraph"/>
      </w:pPr>
    </w:p>
    <w:p w:rsidR="001D2AA3" w:rsidRPr="00207DBD" w:rsidRDefault="00024962">
      <w:pPr>
        <w:pStyle w:val="Titre2"/>
      </w:pPr>
      <w:bookmarkStart w:id="69" w:name="_Toc304823066"/>
      <w:bookmarkStart w:id="70" w:name="_Toc302118922"/>
      <w:bookmarkStart w:id="71" w:name="_Toc305682003"/>
      <w:bookmarkStart w:id="72" w:name="_Toc183171041"/>
      <w:r w:rsidRPr="00877549">
        <w:t>5.2</w:t>
      </w:r>
      <w:r w:rsidRPr="00877549">
        <w:tab/>
        <w:t>ETSI Standards</w:t>
      </w:r>
      <w:bookmarkEnd w:id="69"/>
      <w:bookmarkEnd w:id="70"/>
      <w:bookmarkEnd w:id="71"/>
      <w:bookmarkEnd w:id="72"/>
    </w:p>
    <w:p w:rsidR="00631909" w:rsidRPr="00207DBD" w:rsidRDefault="00024962" w:rsidP="00530A0D">
      <w:pPr>
        <w:pStyle w:val="ECCParagraph"/>
      </w:pPr>
      <w:r w:rsidRPr="00877549">
        <w:t xml:space="preserve">Under the R&amp;TTE Directive, all radio equipment placed on the market in the EU must meet the essential requirements defined in the Directive. In most cases, the requirements are met by compliance with the relevant ETSI harmonised standard.  Compliance with ETSI standards is also an essential element of the licensing regimes in CEPT countries.  </w:t>
      </w:r>
    </w:p>
    <w:p w:rsidR="00631909" w:rsidRPr="00207DBD" w:rsidRDefault="00024962" w:rsidP="000F7E0D">
      <w:pPr>
        <w:pStyle w:val="ECCParagraph"/>
      </w:pPr>
      <w:r w:rsidRPr="00877549">
        <w:t>The specific ETSI standard with which ESOMPs must comply with will need to be developed and be noted in any ECC Decision adopted for ESOMPs. ETSI has been tasked with developing a new standard (draft EN 303 978) for ESOMPs operating in the bands between 17.3</w:t>
      </w:r>
      <w:r w:rsidR="005B4D1B">
        <w:t>-20.2 GHz and 27.5-</w:t>
      </w:r>
      <w:r w:rsidRPr="00877549">
        <w:t xml:space="preserve"> 30 GHz.  </w:t>
      </w:r>
    </w:p>
    <w:p w:rsidR="001D2AA3" w:rsidRPr="00207DBD" w:rsidRDefault="00024962">
      <w:pPr>
        <w:pStyle w:val="Titre2"/>
      </w:pPr>
      <w:r w:rsidRPr="00877549">
        <w:t>5.3</w:t>
      </w:r>
      <w:r w:rsidRPr="00877549">
        <w:tab/>
      </w:r>
      <w:r w:rsidRPr="00877549">
        <w:t xml:space="preserve">OTHER </w:t>
      </w:r>
      <w:r w:rsidRPr="00877549">
        <w:t>Technical requirements for Ka-band esomps</w:t>
      </w:r>
    </w:p>
    <w:p w:rsidR="00631909" w:rsidRPr="00207DBD" w:rsidRDefault="00BB4CF8" w:rsidP="00AC1C60">
      <w:pPr>
        <w:pStyle w:val="ECCParagraph"/>
        <w:rPr>
          <w:rFonts w:cs="Arial"/>
        </w:rPr>
      </w:pPr>
      <w:r>
        <w:rPr>
          <w:rFonts w:cs="Arial"/>
        </w:rPr>
        <w:t>T</w:t>
      </w:r>
      <w:r w:rsidR="00631909" w:rsidRPr="00207DBD">
        <w:rPr>
          <w:rFonts w:cs="Arial"/>
        </w:rPr>
        <w:t xml:space="preserve">o address potential interference with other co-frequency GSO FSS networks, </w:t>
      </w:r>
      <w:r w:rsidR="00024962" w:rsidRPr="00877549">
        <w:rPr>
          <w:rFonts w:cs="Arial"/>
          <w:szCs w:val="20"/>
        </w:rPr>
        <w:t>ESOMPs should comply with the same constraints, such as off-axis EIRP limits, as other FSS earth stations.</w:t>
      </w:r>
      <w:r w:rsidR="00024962" w:rsidRPr="00877549">
        <w:rPr>
          <w:rFonts w:cs="Arial"/>
        </w:rPr>
        <w:t xml:space="preserve">  Such limits would be determined by both the inter-system satellite coordination </w:t>
      </w:r>
      <w:r w:rsidR="00024962" w:rsidRPr="00877549">
        <w:rPr>
          <w:rFonts w:cs="Arial"/>
        </w:rPr>
        <w:lastRenderedPageBreak/>
        <w:t>agreements and the limits in the ETSI standard.</w:t>
      </w:r>
      <w:r w:rsidR="00024962" w:rsidRPr="00877549">
        <w:rPr>
          <w:rFonts w:cs="Arial"/>
          <w:szCs w:val="20"/>
        </w:rPr>
        <w:t xml:space="preserve"> In considering aggregate interference levels, it should be noted that there is no evidence that FSS systems supporting ESOMPs will have more spot beams or better frequency reuse than other FSS systems, so by applying existing FSS rules at least the same level of protection will be provided to neighbouring satellite networks as is currently the case</w:t>
      </w:r>
      <w:r w:rsidR="00024962" w:rsidRPr="00877549">
        <w:rPr>
          <w:rFonts w:cs="Arial"/>
        </w:rPr>
        <w:t xml:space="preserve">. These requirements will ensure that such earth stations are essentially equivalent to stationary FSS earth stations from the perspective of potential uplink interference to other satellite networks. </w:t>
      </w:r>
    </w:p>
    <w:p w:rsidR="00631909" w:rsidRPr="00877549" w:rsidRDefault="00024962" w:rsidP="00FA3FF0">
      <w:pPr>
        <w:rPr>
          <w:lang w:val="en-GB"/>
        </w:rPr>
      </w:pPr>
      <w:r w:rsidRPr="00877549">
        <w:rPr>
          <w:lang w:val="en-GB"/>
        </w:rPr>
        <w:t>The level of protection provided to ESOMPs from other satellite networks will be determined through coordination among the concerned administrations/satellite operators following the same rules and processes as those applicable to all FSS networks.  ESOMP terminals will be protected to the same extent as FSS earth stations included in the inter-system coordination.  As there are no limitations on antenna sizes or patterns in these bands for FSS today, there is also no need to define any such additional requirements for ESOMPs.</w:t>
      </w:r>
    </w:p>
    <w:p w:rsidR="00631909" w:rsidRPr="00207DBD" w:rsidRDefault="00631909" w:rsidP="00AC1C60">
      <w:pPr>
        <w:pStyle w:val="ECCParagraph"/>
        <w:rPr>
          <w:rFonts w:cs="Arial"/>
        </w:rPr>
      </w:pPr>
    </w:p>
    <w:p w:rsidR="00631909" w:rsidRPr="00207DBD" w:rsidRDefault="00024962" w:rsidP="00AC1C60">
      <w:pPr>
        <w:pStyle w:val="ECCParagraph"/>
        <w:rPr>
          <w:rFonts w:cs="Arial"/>
        </w:rPr>
      </w:pPr>
      <w:r w:rsidRPr="00877549">
        <w:rPr>
          <w:rFonts w:cs="Arial"/>
        </w:rPr>
        <w:t xml:space="preserve">Realizing that earth stations on mobile platforms operate in a dynamic environment, it is important to address this aspect in specifying an essential set of technical and operational requirements. The design, coordination and operation of earth stations on mobile platforms should be such that, in addition to the static requirements discussed above, the interference levels generated by such earth stations account for the following factors:   </w:t>
      </w:r>
    </w:p>
    <w:p w:rsidR="00631909" w:rsidRPr="00207DBD" w:rsidRDefault="00024962" w:rsidP="00AC1C60">
      <w:pPr>
        <w:pStyle w:val="ECCParBulleted"/>
        <w:numPr>
          <w:ilvl w:val="0"/>
          <w:numId w:val="45"/>
        </w:numPr>
        <w:spacing w:after="120"/>
        <w:ind w:left="714" w:hanging="357"/>
      </w:pPr>
      <w:proofErr w:type="spellStart"/>
      <w:r w:rsidRPr="00877549">
        <w:t>Mispointing</w:t>
      </w:r>
      <w:proofErr w:type="spellEnd"/>
      <w:r w:rsidRPr="00877549">
        <w:t xml:space="preserve"> of the earth station antenna. Where applicable, this includes, at least, motion-induced antenna pointing errors, effects caused by bias and latency of their pointing systems, tracking error of open or closed loop tracking systems, misalignment between transmit and receive apertures for systems that use separate apertures, and misalignment between transmit and receive feeds for systems that use combined a</w:t>
      </w:r>
      <w:r w:rsidR="00631909" w:rsidRPr="00207DBD">
        <w:t>pertures</w:t>
      </w:r>
    </w:p>
    <w:p w:rsidR="00631909" w:rsidRPr="00207DBD" w:rsidRDefault="00024962" w:rsidP="00AC1C60">
      <w:pPr>
        <w:pStyle w:val="ECCParBulleted"/>
        <w:numPr>
          <w:ilvl w:val="0"/>
          <w:numId w:val="45"/>
        </w:numPr>
        <w:spacing w:after="120"/>
        <w:ind w:left="714" w:hanging="357"/>
      </w:pPr>
      <w:r w:rsidRPr="00877549">
        <w:t>Variations in the antenna pattern of the earth station antenna. Where applicable, this includes, at least, effects caused by manufacturing tolerances, ageing of the antenna and environmental effects. Networks using certain types of antennas, such as phased arrays, should account for variation in antenna pattern with scan angles (elevation and azimuth). Networks using phased arrays should also account for element phase error, amplitude error and failure rate.</w:t>
      </w:r>
    </w:p>
    <w:p w:rsidR="00631909" w:rsidRPr="00207DBD" w:rsidRDefault="00024962" w:rsidP="00AC1C60">
      <w:pPr>
        <w:pStyle w:val="ECCParBulleted"/>
        <w:numPr>
          <w:ilvl w:val="0"/>
          <w:numId w:val="45"/>
        </w:numPr>
        <w:spacing w:after="120"/>
        <w:ind w:left="714" w:hanging="357"/>
      </w:pPr>
      <w:r w:rsidRPr="00877549">
        <w:t>Variations in the transmit e.i.r.p. from the earth station. Where applicable, this includes, at least, effects caused by measurement error, control error and latency for closed loop power control systems, and motion-induced antenna pointing errors.</w:t>
      </w:r>
    </w:p>
    <w:p w:rsidR="00631909" w:rsidRPr="00207DBD" w:rsidRDefault="00024962" w:rsidP="00AC1C60">
      <w:pPr>
        <w:pStyle w:val="ECCParagraph"/>
      </w:pPr>
      <w:r w:rsidRPr="00877549">
        <w:t xml:space="preserve">Earth stations on mobile platforms that use closed loop tracking of the satellite signal need to employ an algorithm that is resistant to capturing and tracking adjacent satellite signals. Such earth stations must be designed and operated such that they immediately inhibit transmission when they detect that unintended satellite tracking has occurred or is about to occur. Such earth stations must also immediately inhibit transmission when their </w:t>
      </w:r>
      <w:proofErr w:type="spellStart"/>
      <w:r w:rsidRPr="00877549">
        <w:t>mispointing</w:t>
      </w:r>
      <w:proofErr w:type="spellEnd"/>
      <w:r w:rsidRPr="00877549">
        <w:t xml:space="preserve"> would result in off-axis e.i.r.p. levels in the direction of neighbouring satellite networks above those of other specific and/or typical FSS earth stations operating in compliance with Recommendation ITU</w:t>
      </w:r>
      <w:r w:rsidRPr="00877549">
        <w:noBreakHyphen/>
        <w:t>R S.524-9 or with any other limits coordinated with neighbouring satellite networks.  These earth stations also need to be self-monitoring and, should harmful interference to FSS networks be detected, must automatically mute any transmissions.</w:t>
      </w:r>
    </w:p>
    <w:p w:rsidR="00631909" w:rsidRPr="00207DBD" w:rsidRDefault="00024962" w:rsidP="00AC1C60">
      <w:pPr>
        <w:pStyle w:val="ECCParagraph"/>
      </w:pPr>
      <w:r w:rsidRPr="00877549">
        <w:lastRenderedPageBreak/>
        <w:t xml:space="preserve">In addition to these autonomous capabilities, earth stations on mobile platforms </w:t>
      </w:r>
      <w:r w:rsidR="00850F2A">
        <w:t>will need to</w:t>
      </w:r>
      <w:r w:rsidRPr="00877549">
        <w:t xml:space="preserve"> be subject to the monitoring and control by a Network Control and Monitoring </w:t>
      </w:r>
      <w:proofErr w:type="spellStart"/>
      <w:r w:rsidRPr="00877549">
        <w:t>Center</w:t>
      </w:r>
      <w:proofErr w:type="spellEnd"/>
      <w:r w:rsidRPr="00877549">
        <w:t xml:space="preserve"> (NCMC) or equivalent facility and these earth stations should be able to receive at least “enable transmission” and “disable transmission” commands from the NCMC. It </w:t>
      </w:r>
      <w:r w:rsidR="00850F2A">
        <w:t>will need to</w:t>
      </w:r>
      <w:r w:rsidRPr="00877549">
        <w:t xml:space="preserve"> be possible for the NCMC to monitor the operation of the earth station to determine if it is malfunctioning.</w:t>
      </w:r>
    </w:p>
    <w:p w:rsidR="00631909" w:rsidRPr="00207DBD" w:rsidRDefault="00024962" w:rsidP="00AC1C60">
      <w:pPr>
        <w:pStyle w:val="ECCParagraph"/>
      </w:pPr>
      <w:r w:rsidRPr="00877549">
        <w:rPr>
          <w:szCs w:val="20"/>
        </w:rPr>
        <w:t>Earth stations affixed to mobile platforms that comply with these requirements will not create unacceptable levels of interference to other FSS systems and terminals operating in the same bands or sub-bands. It is assumed that any ESOMP operating in the territory of a CEPT administration will have to comply with any relevant CEPT requirements, e.g. a new ECC Decision. Any use of non-compliant equipment would be unlawful and subject to national enforcement provisions and sanctions.</w:t>
      </w:r>
    </w:p>
    <w:p w:rsidR="00631909" w:rsidRPr="00207DBD" w:rsidRDefault="00024962" w:rsidP="00AC1C60">
      <w:pPr>
        <w:pStyle w:val="ECCParagraph"/>
        <w:rPr>
          <w:bCs/>
        </w:rPr>
      </w:pPr>
      <w:r w:rsidRPr="00877549">
        <w:t xml:space="preserve">The level of protection provided to ESOMPs from other satellite networks will be determined through coordination among the concerned administrations/satellite operators following the same rules and processes as those applicable to all FSS networks.  ESOMP terminals will be protected to the same extent as FSS </w:t>
      </w:r>
      <w:r w:rsidRPr="00877549">
        <w:t>e</w:t>
      </w:r>
      <w:r w:rsidRPr="00877549">
        <w:t>arth stations included in the inter-system coordination.  As there are no limitations on antenna sizes or on the patterns in these bands for FSS today, there is no need to define such requirements for ESOMPs.</w:t>
      </w:r>
    </w:p>
    <w:p w:rsidR="002C7E44" w:rsidRPr="00877549" w:rsidRDefault="00024962" w:rsidP="00700AA5">
      <w:pPr>
        <w:pStyle w:val="ECCParagraph"/>
        <w:rPr>
          <w:highlight w:val="yellow"/>
        </w:rPr>
      </w:pPr>
      <w:r w:rsidRPr="00877549">
        <w:t>When considering the level of protection provided to other satellite networks from ESOMPs, technical requirements should adequately be defined in order to avoid that poorly pointed or poorly controlled Ka-band terminals (whether fixed or mobile) would cause unacceptable interference to adjacent Ka-band GEO FSS satellites and so prejudice the provision of Ka-band FSS services to European customers.</w:t>
      </w:r>
      <w:r w:rsidRPr="00877549">
        <w:br/>
        <w:t>Furthermore, the use of low-gain antennae and their potential impact on other satellite networks should not be an issue, since any terminal, in order to be able to operate, shall be compliant with the relevant Harmonised ETSI Standard which will include an off-axis EIRP limit and the other Recommendations and coordination requirements applicable to FSS networks.</w:t>
      </w:r>
    </w:p>
    <w:p w:rsidR="00631909" w:rsidRPr="00877549" w:rsidRDefault="00024962" w:rsidP="00530A0D">
      <w:pPr>
        <w:pStyle w:val="Titre1"/>
      </w:pPr>
      <w:bookmarkStart w:id="73" w:name="_Toc304823067"/>
      <w:bookmarkStart w:id="74" w:name="_Toc302118923"/>
      <w:bookmarkStart w:id="75" w:name="_Toc305682004"/>
      <w:bookmarkStart w:id="76" w:name="_Toc183171042"/>
      <w:r w:rsidRPr="00877549">
        <w:t xml:space="preserve">regulatory framework needed to treat and operate ESOMPs as fss in the </w:t>
      </w:r>
      <w:r w:rsidR="00631909" w:rsidRPr="00207DBD">
        <w:t>bands</w:t>
      </w:r>
      <w:r w:rsidRPr="00877549">
        <w:t xml:space="preserve"> 27.5-30.0 GHz and 17.3-20.2 GHz</w:t>
      </w:r>
      <w:bookmarkEnd w:id="73"/>
      <w:bookmarkEnd w:id="74"/>
      <w:bookmarkEnd w:id="75"/>
      <w:bookmarkEnd w:id="76"/>
    </w:p>
    <w:p w:rsidR="007F1797" w:rsidRPr="00207DBD" w:rsidRDefault="00746818" w:rsidP="00530A0D">
      <w:pPr>
        <w:pStyle w:val="ECCParagraph"/>
      </w:pPr>
      <w:r w:rsidRPr="00207DBD">
        <w:t xml:space="preserve">Under </w:t>
      </w:r>
      <w:r w:rsidR="00BB4CF8">
        <w:t>the recommended</w:t>
      </w:r>
      <w:r w:rsidR="00AB617C">
        <w:t xml:space="preserve"> </w:t>
      </w:r>
      <w:r w:rsidRPr="00207DBD">
        <w:t>approach, a new ECC Decision would be developed to authorise the use of ESOMPs in the Ka-band frequencies, without any change to the Radio Regulation</w:t>
      </w:r>
      <w:r w:rsidR="00024962" w:rsidRPr="00877549">
        <w:t xml:space="preserve">s.  The Decision would </w:t>
      </w:r>
      <w:r w:rsidR="00850F2A">
        <w:t>provide a framework for</w:t>
      </w:r>
      <w:r w:rsidR="00024962" w:rsidRPr="00877549">
        <w:t xml:space="preserve"> ESOMPs to operate in FSS networks and would establish technical and regulatory requirements. While, for ESOMPs terminals installed on land, authorisation is managed by the single administrations, in the case of ESOMPs on maritime platforms, a process based on mutual recognition of licences and free circulation may be considered. When they are operated under certain technical conditions, the same regime could also apply to ESOMPs installed on aeronautical platforms. </w:t>
      </w:r>
      <w:r w:rsidRPr="00207DBD">
        <w:t xml:space="preserve">Figure 1 outlines the process through which a new ECC Decision </w:t>
      </w:r>
      <w:r w:rsidR="00024962" w:rsidRPr="00877549">
        <w:t xml:space="preserve">(and ETSI Standard) could be used for authorising ESOMPs to operate in those parts of the Ka-band allocated to uncoordinated FSS </w:t>
      </w:r>
      <w:r w:rsidR="00024962" w:rsidRPr="00877549">
        <w:t>e</w:t>
      </w:r>
      <w:r w:rsidR="00024962" w:rsidRPr="00877549">
        <w:t>arth Stations.</w:t>
      </w:r>
    </w:p>
    <w:p w:rsidR="0007176D" w:rsidRPr="00877549" w:rsidRDefault="00CD34A9" w:rsidP="0007176D">
      <w:pPr>
        <w:pStyle w:val="ECCParagraph"/>
        <w:keepNext/>
        <w:keepLines/>
        <w:jc w:val="center"/>
      </w:pPr>
      <w:r w:rsidRPr="00877549">
        <w:rPr>
          <w:rFonts w:ascii="Times New Roman" w:hAnsi="Times New Roman"/>
          <w:noProof/>
          <w:lang w:val="fr-FR" w:eastAsia="fr-FR"/>
        </w:rPr>
        <w:lastRenderedPageBreak/>
        <w:drawing>
          <wp:inline distT="0" distB="0" distL="0" distR="0" wp14:anchorId="7961B329" wp14:editId="3423316B">
            <wp:extent cx="4525370" cy="2331201"/>
            <wp:effectExtent l="19050" t="0" r="27940" b="0"/>
            <wp:docPr id="2" name="Diagram 3"/>
            <wp:cNvGraphicFramePr>
              <a:graphicFrameLocks xmlns:a="http://schemas.openxmlformats.org/drawingml/2006/main"/>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3" r:lo="rId14" r:qs="rId15" r:cs="rId16"/>
              </a:graphicData>
            </a:graphic>
          </wp:inline>
        </w:drawing>
      </w:r>
    </w:p>
    <w:p w:rsidR="0007176D" w:rsidRPr="00877549" w:rsidRDefault="00024962" w:rsidP="0007176D">
      <w:pPr>
        <w:pStyle w:val="ECCParagraph"/>
        <w:keepNext/>
        <w:keepLines/>
        <w:jc w:val="center"/>
      </w:pPr>
      <w:r w:rsidRPr="00877549">
        <w:t>Figure 1: Proposed treatment of ESOMPs in CEPT</w:t>
      </w:r>
    </w:p>
    <w:p w:rsidR="0007176D" w:rsidRPr="00877549" w:rsidRDefault="0007176D" w:rsidP="00530A0D">
      <w:pPr>
        <w:pStyle w:val="ECCParagraph"/>
      </w:pPr>
    </w:p>
    <w:p w:rsidR="00631909" w:rsidRPr="00207DBD" w:rsidRDefault="00024962" w:rsidP="00530A0D">
      <w:pPr>
        <w:pStyle w:val="ECCParagraph"/>
      </w:pPr>
      <w:r w:rsidRPr="00877549">
        <w:t xml:space="preserve">The prior ECC Decisions on AESs and ESVs, as well as the ITU-R Resolutions and </w:t>
      </w:r>
      <w:proofErr w:type="gramStart"/>
      <w:r w:rsidRPr="00877549">
        <w:t>Recommendations</w:t>
      </w:r>
      <w:proofErr w:type="gramEnd"/>
      <w:r w:rsidRPr="00877549">
        <w:t xml:space="preserve"> on which they are based, provide a basis for developing the requirements for inclusion in such a new Decision. The following table summarizes the requirements from these Decisions, Resolutions and Recommendations that may be used for developing criteria for determining whether a mobile platform communicating with an FSS network may be treated as a typical uncoordinated FSS </w:t>
      </w:r>
      <w:r w:rsidRPr="00877549">
        <w:t>e</w:t>
      </w:r>
      <w:r w:rsidRPr="00877549">
        <w:t>arth station.</w:t>
      </w:r>
    </w:p>
    <w:p w:rsidR="00631909" w:rsidRPr="00207DBD" w:rsidRDefault="00024962" w:rsidP="00105FE9">
      <w:pPr>
        <w:pStyle w:val="ECCTabletitle"/>
        <w:numPr>
          <w:ilvl w:val="0"/>
          <w:numId w:val="0"/>
        </w:numPr>
      </w:pPr>
      <w:r w:rsidRPr="00877549">
        <w:t xml:space="preserve">Table </w:t>
      </w:r>
      <w:r w:rsidRPr="00877549">
        <w:fldChar w:fldCharType="begin"/>
      </w:r>
      <w:r w:rsidRPr="00877549">
        <w:instrText xml:space="preserve"> SEQ Table \* ARABIC </w:instrText>
      </w:r>
      <w:r w:rsidRPr="00877549">
        <w:fldChar w:fldCharType="separate"/>
      </w:r>
      <w:r w:rsidRPr="00877549">
        <w:rPr>
          <w:noProof/>
        </w:rPr>
        <w:t>1</w:t>
      </w:r>
      <w:r w:rsidRPr="00877549">
        <w:fldChar w:fldCharType="end"/>
      </w:r>
      <w:r w:rsidRPr="00877549">
        <w:t xml:space="preserve">: Requirements for C-band and Ku-band ESOMPs to be considered for inclusion in new Regulations on Ka-band ESOMPs </w:t>
      </w:r>
    </w:p>
    <w:tbl>
      <w:tblPr>
        <w:tblW w:w="10337" w:type="dxa"/>
        <w:tblLook w:val="01E0" w:firstRow="1" w:lastRow="1" w:firstColumn="1" w:lastColumn="1" w:noHBand="0" w:noVBand="0"/>
      </w:tblPr>
      <w:tblGrid>
        <w:gridCol w:w="10115"/>
        <w:gridCol w:w="222"/>
      </w:tblGrid>
      <w:tr w:rsidR="00631909" w:rsidRPr="00207DBD" w:rsidTr="003920E8">
        <w:tc>
          <w:tcPr>
            <w:tcW w:w="10115" w:type="dxa"/>
          </w:tcPr>
          <w:tbl>
            <w:tblPr>
              <w:tblW w:w="9889"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top w:w="11" w:type="dxa"/>
                <w:bottom w:w="11" w:type="dxa"/>
              </w:tblCellMar>
              <w:tblLook w:val="01E0" w:firstRow="1" w:lastRow="1" w:firstColumn="1" w:lastColumn="1" w:noHBand="0" w:noVBand="0"/>
            </w:tblPr>
            <w:tblGrid>
              <w:gridCol w:w="5211"/>
              <w:gridCol w:w="4678"/>
            </w:tblGrid>
            <w:tr w:rsidR="00D00A86" w:rsidRPr="00207DBD" w:rsidTr="00D00A86">
              <w:trPr>
                <w:tblHeader/>
              </w:trPr>
              <w:tc>
                <w:tcPr>
                  <w:tcW w:w="5211" w:type="dxa"/>
                  <w:tcBorders>
                    <w:right w:val="single" w:sz="4" w:space="0" w:color="FFFFFF"/>
                  </w:tcBorders>
                  <w:shd w:val="clear" w:color="auto" w:fill="D2232A"/>
                  <w:vAlign w:val="center"/>
                </w:tcPr>
                <w:p w:rsidR="00D00A86" w:rsidRPr="00877549" w:rsidRDefault="00D00A86" w:rsidP="00D00A86">
                  <w:pPr>
                    <w:keepNext/>
                    <w:spacing w:before="360" w:after="120" w:line="288" w:lineRule="auto"/>
                    <w:jc w:val="center"/>
                    <w:outlineLvl w:val="2"/>
                    <w:rPr>
                      <w:b/>
                      <w:color w:val="FFFFFF"/>
                      <w:sz w:val="22"/>
                      <w:szCs w:val="22"/>
                      <w:lang w:val="en-GB"/>
                    </w:rPr>
                  </w:pPr>
                  <w:r w:rsidRPr="00207DBD">
                    <w:rPr>
                      <w:rFonts w:cs="Arial"/>
                      <w:b/>
                      <w:color w:val="FFFFFF"/>
                      <w:lang w:val="en-GB"/>
                    </w:rPr>
                    <w:lastRenderedPageBreak/>
                    <w:t>Requirement</w:t>
                  </w:r>
                </w:p>
              </w:tc>
              <w:tc>
                <w:tcPr>
                  <w:tcW w:w="4678" w:type="dxa"/>
                  <w:tcBorders>
                    <w:left w:val="single" w:sz="4" w:space="0" w:color="FFFFFF"/>
                    <w:right w:val="single" w:sz="4" w:space="0" w:color="FFFFFF"/>
                  </w:tcBorders>
                  <w:shd w:val="clear" w:color="auto" w:fill="D2232A"/>
                  <w:vAlign w:val="center"/>
                </w:tcPr>
                <w:p w:rsidR="00D00A86" w:rsidRPr="00877549" w:rsidRDefault="00024962" w:rsidP="00D00A86">
                  <w:pPr>
                    <w:keepNext/>
                    <w:spacing w:before="360" w:after="120" w:line="288" w:lineRule="auto"/>
                    <w:jc w:val="center"/>
                    <w:outlineLvl w:val="2"/>
                    <w:rPr>
                      <w:rFonts w:cs="Arial"/>
                      <w:b/>
                      <w:color w:val="FFFFFF"/>
                      <w:szCs w:val="22"/>
                      <w:lang w:val="en-GB"/>
                    </w:rPr>
                  </w:pPr>
                  <w:r w:rsidRPr="00877549">
                    <w:rPr>
                      <w:rFonts w:cs="Arial"/>
                      <w:b/>
                      <w:color w:val="FFFFFF"/>
                      <w:lang w:val="en-GB"/>
                    </w:rPr>
                    <w:t>Source</w:t>
                  </w:r>
                </w:p>
              </w:tc>
            </w:tr>
            <w:tr w:rsidR="00D00A86" w:rsidRPr="00207DBD" w:rsidTr="00D00A86">
              <w:tc>
                <w:tcPr>
                  <w:tcW w:w="5211" w:type="dxa"/>
                  <w:vAlign w:val="center"/>
                </w:tcPr>
                <w:p w:rsidR="00D00A86" w:rsidRPr="00877549" w:rsidRDefault="00024962" w:rsidP="00D00A86">
                  <w:pPr>
                    <w:keepNext/>
                    <w:spacing w:before="360" w:after="120" w:line="288" w:lineRule="auto"/>
                    <w:outlineLvl w:val="2"/>
                    <w:rPr>
                      <w:szCs w:val="22"/>
                      <w:lang w:val="en-GB"/>
                    </w:rPr>
                  </w:pPr>
                  <w:r w:rsidRPr="00877549">
                    <w:rPr>
                      <w:rFonts w:cs="Arial"/>
                      <w:lang w:val="en-GB"/>
                    </w:rPr>
                    <w:t>[The network] must operate under the control of a network control facility</w:t>
                  </w:r>
                  <w:r w:rsidRPr="00877549">
                    <w:rPr>
                      <w:lang w:val="en-GB"/>
                    </w:rPr>
                    <w:t>.</w:t>
                  </w:r>
                </w:p>
              </w:tc>
              <w:tc>
                <w:tcPr>
                  <w:tcW w:w="4678" w:type="dxa"/>
                  <w:vAlign w:val="center"/>
                </w:tcPr>
                <w:p w:rsidR="00D00A86" w:rsidRPr="00877549" w:rsidRDefault="00024962" w:rsidP="00D00A86">
                  <w:pPr>
                    <w:keepNext/>
                    <w:spacing w:before="360" w:after="120" w:line="288" w:lineRule="auto"/>
                    <w:outlineLvl w:val="2"/>
                    <w:rPr>
                      <w:rFonts w:cs="Arial"/>
                      <w:szCs w:val="22"/>
                      <w:lang w:val="en-GB"/>
                    </w:rPr>
                  </w:pPr>
                  <w:r w:rsidRPr="00877549">
                    <w:rPr>
                      <w:rFonts w:cs="Arial"/>
                      <w:lang w:val="en-GB"/>
                    </w:rPr>
                    <w:t xml:space="preserve">Recommendation ITU-R M.1643 </w:t>
                  </w:r>
                </w:p>
              </w:tc>
            </w:tr>
            <w:tr w:rsidR="00D00A86" w:rsidRPr="00207DBD" w:rsidTr="00D00A86">
              <w:tc>
                <w:tcPr>
                  <w:tcW w:w="5211" w:type="dxa"/>
                  <w:vAlign w:val="center"/>
                </w:tcPr>
                <w:p w:rsidR="00D00A86" w:rsidRPr="00877549" w:rsidRDefault="00024962" w:rsidP="00D00A86">
                  <w:pPr>
                    <w:keepNext/>
                    <w:spacing w:before="360" w:after="120" w:line="288" w:lineRule="auto"/>
                    <w:outlineLvl w:val="2"/>
                    <w:rPr>
                      <w:rFonts w:cs="Arial"/>
                      <w:szCs w:val="22"/>
                      <w:lang w:val="en-GB"/>
                    </w:rPr>
                  </w:pPr>
                  <w:r w:rsidRPr="00877549">
                    <w:rPr>
                      <w:rFonts w:cs="Arial"/>
                      <w:lang w:val="en-GB"/>
                    </w:rPr>
                    <w:t>[The network] should be coordinated and operated in such a manner that the aggregate off-axis e.i.r.p. levels produced by all co-frequency [Earth stations] within the network are no greater than the interference levels that have been published and coordinated for the specific and/or typical Earth station(s) pertaining to the FSS networks where FSS transponders are used.</w:t>
                  </w:r>
                </w:p>
              </w:tc>
              <w:tc>
                <w:tcPr>
                  <w:tcW w:w="4678" w:type="dxa"/>
                  <w:vAlign w:val="center"/>
                </w:tcPr>
                <w:p w:rsidR="00D00A86" w:rsidRPr="00207DBD" w:rsidRDefault="00024962" w:rsidP="00D00A86">
                  <w:pPr>
                    <w:spacing w:line="288" w:lineRule="auto"/>
                    <w:rPr>
                      <w:rFonts w:cs="Arial"/>
                      <w:lang w:val="en-GB"/>
                    </w:rPr>
                  </w:pPr>
                  <w:r w:rsidRPr="00877549">
                    <w:rPr>
                      <w:rFonts w:cs="Arial"/>
                      <w:lang w:val="en-GB"/>
                    </w:rPr>
                    <w:t>Recommendation ITU-R M.1643 Resolution 902</w:t>
                  </w:r>
                </w:p>
                <w:p w:rsidR="00D00A86" w:rsidRPr="00877549" w:rsidRDefault="00024962" w:rsidP="00D00A86">
                  <w:pPr>
                    <w:keepNext/>
                    <w:spacing w:before="360" w:after="120" w:line="288" w:lineRule="auto"/>
                    <w:outlineLvl w:val="2"/>
                    <w:rPr>
                      <w:sz w:val="22"/>
                      <w:szCs w:val="22"/>
                      <w:lang w:val="en-GB"/>
                    </w:rPr>
                  </w:pPr>
                  <w:r w:rsidRPr="00877549">
                    <w:rPr>
                      <w:rFonts w:cs="Arial"/>
                      <w:lang w:val="en-GB"/>
                    </w:rPr>
                    <w:t>Rec. ITU-R S.524-9</w:t>
                  </w:r>
                </w:p>
              </w:tc>
            </w:tr>
            <w:tr w:rsidR="00D00A86" w:rsidRPr="00207DBD" w:rsidTr="00D00A86">
              <w:tc>
                <w:tcPr>
                  <w:tcW w:w="5211" w:type="dxa"/>
                  <w:vAlign w:val="center"/>
                </w:tcPr>
                <w:p w:rsidR="00D00A86" w:rsidRPr="00877549" w:rsidRDefault="00024962" w:rsidP="00D00A86">
                  <w:pPr>
                    <w:keepNext/>
                    <w:spacing w:before="360" w:after="120" w:line="288" w:lineRule="auto"/>
                    <w:outlineLvl w:val="2"/>
                    <w:rPr>
                      <w:rFonts w:cs="Arial"/>
                      <w:szCs w:val="22"/>
                      <w:lang w:val="en-GB"/>
                    </w:rPr>
                  </w:pPr>
                  <w:r w:rsidRPr="00877549">
                    <w:rPr>
                      <w:rFonts w:cs="Arial"/>
                      <w:lang w:val="en-GB"/>
                    </w:rPr>
                    <w:t>The design, coordination and operation of the Earth stations should take into account:</w:t>
                  </w:r>
                </w:p>
              </w:tc>
              <w:tc>
                <w:tcPr>
                  <w:tcW w:w="4678" w:type="dxa"/>
                  <w:vAlign w:val="center"/>
                </w:tcPr>
                <w:p w:rsidR="00D00A86" w:rsidRPr="00877549" w:rsidRDefault="00D00A86" w:rsidP="00D00A86">
                  <w:pPr>
                    <w:spacing w:line="288" w:lineRule="auto"/>
                    <w:rPr>
                      <w:lang w:val="en-GB"/>
                    </w:rPr>
                  </w:pPr>
                </w:p>
              </w:tc>
            </w:tr>
            <w:tr w:rsidR="00D00A86" w:rsidRPr="00207DBD" w:rsidTr="00D00A86">
              <w:tc>
                <w:tcPr>
                  <w:tcW w:w="5211" w:type="dxa"/>
                  <w:vAlign w:val="center"/>
                </w:tcPr>
                <w:p w:rsidR="00D00A86" w:rsidRPr="00877549" w:rsidRDefault="00024962" w:rsidP="00D00A86">
                  <w:pPr>
                    <w:spacing w:line="288" w:lineRule="auto"/>
                    <w:rPr>
                      <w:rFonts w:cs="Arial"/>
                      <w:b/>
                      <w:color w:val="FFFFFF"/>
                      <w:lang w:val="en-GB"/>
                    </w:rPr>
                  </w:pPr>
                  <w:r w:rsidRPr="00877549">
                    <w:rPr>
                      <w:rFonts w:cs="Arial"/>
                      <w:lang w:val="en-GB"/>
                    </w:rPr>
                    <w:t xml:space="preserve">- Antenna </w:t>
                  </w:r>
                  <w:proofErr w:type="spellStart"/>
                  <w:r w:rsidRPr="00877549">
                    <w:rPr>
                      <w:rFonts w:cs="Arial"/>
                      <w:lang w:val="en-GB"/>
                    </w:rPr>
                    <w:t>mispointing</w:t>
                  </w:r>
                  <w:r w:rsidRPr="00877549">
                    <w:rPr>
                      <w:rFonts w:cs="Arial"/>
                      <w:b/>
                      <w:color w:val="FFFFFF"/>
                      <w:lang w:val="en-GB"/>
                    </w:rPr>
                    <w:t>olumn</w:t>
                  </w:r>
                  <w:proofErr w:type="spellEnd"/>
                  <w:r w:rsidRPr="00877549">
                    <w:rPr>
                      <w:rFonts w:cs="Arial"/>
                      <w:b/>
                      <w:color w:val="FFFFFF"/>
                      <w:lang w:val="en-GB"/>
                    </w:rPr>
                    <w:t xml:space="preserve"> title (style: Arial 10pt bold white) </w:t>
                  </w:r>
                </w:p>
              </w:tc>
              <w:tc>
                <w:tcPr>
                  <w:tcW w:w="4678" w:type="dxa"/>
                  <w:vAlign w:val="center"/>
                </w:tcPr>
                <w:p w:rsidR="00D00A86" w:rsidRPr="00877549" w:rsidRDefault="00024962" w:rsidP="00D00A86">
                  <w:pPr>
                    <w:spacing w:line="288" w:lineRule="auto"/>
                    <w:rPr>
                      <w:b/>
                      <w:color w:val="FFFFFF"/>
                      <w:lang w:val="en-GB"/>
                    </w:rPr>
                  </w:pPr>
                  <w:r w:rsidRPr="00877549">
                    <w:rPr>
                      <w:rFonts w:cs="Arial"/>
                      <w:lang w:val="en-GB"/>
                    </w:rPr>
                    <w:t>Recommendation ITU-R M.1643</w:t>
                  </w:r>
                </w:p>
              </w:tc>
            </w:tr>
            <w:tr w:rsidR="00D00A86" w:rsidRPr="00207DBD" w:rsidTr="00D00A86">
              <w:tc>
                <w:tcPr>
                  <w:tcW w:w="5211" w:type="dxa"/>
                  <w:vAlign w:val="center"/>
                </w:tcPr>
                <w:p w:rsidR="00D00A86" w:rsidRPr="00877549" w:rsidRDefault="00024962" w:rsidP="00D00A86">
                  <w:pPr>
                    <w:spacing w:line="288" w:lineRule="auto"/>
                    <w:rPr>
                      <w:rFonts w:cs="Arial"/>
                      <w:b/>
                      <w:color w:val="FFFFFF"/>
                      <w:lang w:val="en-GB"/>
                    </w:rPr>
                  </w:pPr>
                  <w:r w:rsidRPr="00877549">
                    <w:rPr>
                      <w:rFonts w:cs="Arial"/>
                      <w:lang w:val="en-GB"/>
                    </w:rPr>
                    <w:t>- Variations in antenna pattern of the Earth station</w:t>
                  </w:r>
                </w:p>
              </w:tc>
              <w:tc>
                <w:tcPr>
                  <w:tcW w:w="4678" w:type="dxa"/>
                  <w:vAlign w:val="center"/>
                </w:tcPr>
                <w:p w:rsidR="00D00A86" w:rsidRPr="00207DBD" w:rsidRDefault="00024962" w:rsidP="00D00A86">
                  <w:pPr>
                    <w:spacing w:line="288" w:lineRule="auto"/>
                    <w:rPr>
                      <w:rFonts w:cs="Arial"/>
                      <w:lang w:val="en-GB"/>
                    </w:rPr>
                  </w:pPr>
                  <w:r w:rsidRPr="00877549">
                    <w:rPr>
                      <w:rFonts w:cs="Arial"/>
                      <w:lang w:val="en-GB"/>
                    </w:rPr>
                    <w:t>Recommendation ITU-R  M.1643</w:t>
                  </w:r>
                </w:p>
              </w:tc>
            </w:tr>
            <w:tr w:rsidR="00D00A86" w:rsidRPr="00207DBD" w:rsidTr="00D00A86">
              <w:tc>
                <w:tcPr>
                  <w:tcW w:w="5211" w:type="dxa"/>
                  <w:vAlign w:val="center"/>
                </w:tcPr>
                <w:p w:rsidR="00D00A86" w:rsidRPr="00877549" w:rsidRDefault="00024962" w:rsidP="00D00A86">
                  <w:pPr>
                    <w:spacing w:line="288" w:lineRule="auto"/>
                    <w:rPr>
                      <w:rFonts w:cs="Arial"/>
                      <w:b/>
                      <w:color w:val="FFFFFF"/>
                      <w:lang w:val="en-GB"/>
                    </w:rPr>
                  </w:pPr>
                  <w:r w:rsidRPr="00877549">
                    <w:rPr>
                      <w:rFonts w:cs="Arial"/>
                      <w:lang w:val="en-GB"/>
                    </w:rPr>
                    <w:t>- Variations in the transmit e.i.r.p. from the Earth station</w:t>
                  </w:r>
                </w:p>
              </w:tc>
              <w:tc>
                <w:tcPr>
                  <w:tcW w:w="4678" w:type="dxa"/>
                  <w:vAlign w:val="center"/>
                </w:tcPr>
                <w:p w:rsidR="00D00A86" w:rsidRPr="00207DBD" w:rsidRDefault="00024962" w:rsidP="00D00A86">
                  <w:pPr>
                    <w:spacing w:line="288" w:lineRule="auto"/>
                    <w:rPr>
                      <w:rFonts w:cs="Arial"/>
                      <w:lang w:val="en-GB"/>
                    </w:rPr>
                  </w:pPr>
                  <w:r w:rsidRPr="00877549">
                    <w:rPr>
                      <w:rFonts w:cs="Arial"/>
                      <w:lang w:val="en-GB"/>
                    </w:rPr>
                    <w:t>Recommendation ITU-R M.1643</w:t>
                  </w:r>
                </w:p>
              </w:tc>
            </w:tr>
            <w:tr w:rsidR="00D00A86" w:rsidRPr="00207DBD" w:rsidTr="00D00A86">
              <w:tc>
                <w:tcPr>
                  <w:tcW w:w="5211" w:type="dxa"/>
                  <w:vAlign w:val="center"/>
                </w:tcPr>
                <w:p w:rsidR="00D00A86" w:rsidRPr="00877549" w:rsidRDefault="00024962" w:rsidP="00D00A86">
                  <w:pPr>
                    <w:spacing w:line="288" w:lineRule="auto"/>
                    <w:rPr>
                      <w:rFonts w:cs="Arial"/>
                      <w:color w:val="FFFFFF"/>
                      <w:lang w:val="en-GB"/>
                    </w:rPr>
                  </w:pPr>
                  <w:r w:rsidRPr="00877549">
                    <w:rPr>
                      <w:rFonts w:cs="Arial"/>
                      <w:lang w:val="en-GB"/>
                    </w:rPr>
                    <w:t>[Earth stations] that use close loop tracking of the satellite signal need to employ an algorithm that is resistant to capturing and tracking adjacent satellite signals.  [Earth stations] must immediately inhibit transmissions when they detect that unintended satellite tracking has happened or is about to happen.</w:t>
                  </w:r>
                </w:p>
              </w:tc>
              <w:tc>
                <w:tcPr>
                  <w:tcW w:w="4678" w:type="dxa"/>
                  <w:vAlign w:val="center"/>
                </w:tcPr>
                <w:p w:rsidR="00D00A86" w:rsidRPr="00207DBD" w:rsidRDefault="00024962" w:rsidP="00D00A86">
                  <w:pPr>
                    <w:spacing w:line="288" w:lineRule="auto"/>
                    <w:rPr>
                      <w:rFonts w:cs="Arial"/>
                      <w:lang w:val="en-GB"/>
                    </w:rPr>
                  </w:pPr>
                  <w:r w:rsidRPr="00877549">
                    <w:rPr>
                      <w:rFonts w:cs="Arial"/>
                      <w:lang w:val="en-GB"/>
                    </w:rPr>
                    <w:t>Recommendation ITU-R M.1643</w:t>
                  </w:r>
                </w:p>
              </w:tc>
            </w:tr>
            <w:tr w:rsidR="00D00A86" w:rsidRPr="00207DBD" w:rsidTr="00D00A86">
              <w:tc>
                <w:tcPr>
                  <w:tcW w:w="5211" w:type="dxa"/>
                  <w:vAlign w:val="center"/>
                </w:tcPr>
                <w:p w:rsidR="00D00A86" w:rsidRPr="00877549" w:rsidRDefault="00024962" w:rsidP="00D00A86">
                  <w:pPr>
                    <w:spacing w:line="288" w:lineRule="auto"/>
                    <w:rPr>
                      <w:rFonts w:cs="Arial"/>
                      <w:b/>
                      <w:color w:val="FFFFFF"/>
                      <w:lang w:val="en-GB"/>
                    </w:rPr>
                  </w:pPr>
                  <w:r w:rsidRPr="00877549">
                    <w:rPr>
                      <w:rFonts w:cs="Arial"/>
                      <w:lang w:val="en-GB"/>
                    </w:rPr>
                    <w:t>The [Earth station] should be self-monitoring and, should a fault which can cause harmful interferen</w:t>
                  </w:r>
                  <w:r w:rsidR="00D00A86" w:rsidRPr="00207DBD">
                    <w:rPr>
                      <w:rFonts w:cs="Arial"/>
                      <w:lang w:val="en-GB"/>
                    </w:rPr>
                    <w:t>ce to FSS networks be detected, the [Earth station] must automatically mute its transmissions.</w:t>
                  </w:r>
                </w:p>
              </w:tc>
              <w:tc>
                <w:tcPr>
                  <w:tcW w:w="4678" w:type="dxa"/>
                  <w:vAlign w:val="center"/>
                </w:tcPr>
                <w:p w:rsidR="00D00A86" w:rsidRPr="00207DBD" w:rsidRDefault="00024962" w:rsidP="00D00A86">
                  <w:pPr>
                    <w:spacing w:line="288" w:lineRule="auto"/>
                    <w:rPr>
                      <w:rFonts w:cs="Arial"/>
                      <w:lang w:val="en-GB"/>
                    </w:rPr>
                  </w:pPr>
                  <w:r w:rsidRPr="00877549">
                    <w:rPr>
                      <w:rFonts w:cs="Arial"/>
                      <w:lang w:val="en-GB"/>
                    </w:rPr>
                    <w:t>Recommendation ITU-R M.1643; Resolution 902</w:t>
                  </w:r>
                </w:p>
              </w:tc>
            </w:tr>
          </w:tbl>
          <w:p w:rsidR="00631909" w:rsidRPr="00877549" w:rsidRDefault="00631909" w:rsidP="00ED0A2C">
            <w:pPr>
              <w:spacing w:line="288" w:lineRule="auto"/>
              <w:jc w:val="center"/>
              <w:rPr>
                <w:b/>
                <w:color w:val="FFFFFF"/>
                <w:lang w:val="en-GB"/>
              </w:rPr>
            </w:pPr>
          </w:p>
        </w:tc>
        <w:tc>
          <w:tcPr>
            <w:tcW w:w="222" w:type="dxa"/>
          </w:tcPr>
          <w:p w:rsidR="00631909" w:rsidRPr="00877549" w:rsidRDefault="00631909" w:rsidP="00ED0A2C">
            <w:pPr>
              <w:spacing w:line="288" w:lineRule="auto"/>
              <w:jc w:val="center"/>
              <w:rPr>
                <w:rFonts w:cs="Arial"/>
                <w:b/>
                <w:color w:val="FFFFFF"/>
                <w:lang w:val="en-GB"/>
              </w:rPr>
            </w:pPr>
          </w:p>
        </w:tc>
      </w:tr>
      <w:tr w:rsidR="00631909" w:rsidRPr="00207DBD" w:rsidTr="003920E8">
        <w:tc>
          <w:tcPr>
            <w:tcW w:w="10115" w:type="dxa"/>
          </w:tcPr>
          <w:p w:rsidR="00631909" w:rsidRPr="00877549" w:rsidRDefault="00631909" w:rsidP="00ED0A2C">
            <w:pPr>
              <w:spacing w:line="288" w:lineRule="auto"/>
              <w:rPr>
                <w:lang w:val="en-GB"/>
              </w:rPr>
            </w:pPr>
          </w:p>
        </w:tc>
        <w:tc>
          <w:tcPr>
            <w:tcW w:w="222" w:type="dxa"/>
          </w:tcPr>
          <w:p w:rsidR="00631909" w:rsidRPr="00877549" w:rsidRDefault="00631909" w:rsidP="00F16F2F">
            <w:pPr>
              <w:spacing w:line="288" w:lineRule="auto"/>
              <w:rPr>
                <w:rFonts w:cs="Arial"/>
                <w:lang w:val="en-GB"/>
              </w:rPr>
            </w:pPr>
          </w:p>
        </w:tc>
      </w:tr>
    </w:tbl>
    <w:p w:rsidR="00631909" w:rsidRPr="00207DBD" w:rsidRDefault="00024962" w:rsidP="00342901">
      <w:pPr>
        <w:pStyle w:val="ECCParagraph"/>
      </w:pPr>
      <w:r w:rsidRPr="00877549">
        <w:lastRenderedPageBreak/>
        <w:t>Some of the above requirements are expected to be contained in the ETSI standard for Ka-band ESOMPs.  Other requirements may need to be included in the ECC Decision.</w:t>
      </w:r>
    </w:p>
    <w:p w:rsidR="00631909" w:rsidRPr="00207DBD" w:rsidRDefault="00024962" w:rsidP="00A75FD8">
      <w:pPr>
        <w:pStyle w:val="ECCParagraph"/>
      </w:pPr>
      <w:r w:rsidRPr="00877549">
        <w:t xml:space="preserve">Instead of defining distinct decisions for aeronautical and maritime </w:t>
      </w:r>
      <w:r w:rsidR="0053626D">
        <w:t>e</w:t>
      </w:r>
      <w:r w:rsidR="00746818" w:rsidRPr="00207DBD">
        <w:t xml:space="preserve">arth stations operating in the Ka-band, more general provisions would be developed defining the conditions under which these </w:t>
      </w:r>
      <w:r w:rsidR="0053626D">
        <w:t>e</w:t>
      </w:r>
      <w:r w:rsidR="00746818" w:rsidRPr="00207DBD">
        <w:t>arth stations could be treated as ESOMPs, operating under the same conditions as typica</w:t>
      </w:r>
      <w:r w:rsidRPr="00877549">
        <w:t xml:space="preserve">l uncoordinated FSS </w:t>
      </w:r>
      <w:r w:rsidR="0053626D">
        <w:t>e</w:t>
      </w:r>
      <w:r w:rsidR="00746818" w:rsidRPr="00207DBD">
        <w:t>arth stations. Maritime and aeronautical ESOMPs would then be required to follow similar regulatory requirements to those applicable to typical uncoordinated FSS</w:t>
      </w:r>
      <w:r w:rsidRPr="00877549">
        <w:t xml:space="preserve"> Earth stations operating in the band in order to achieve free circulation for aero and maritime terminals and licence exemption or general authorisation for land based terminals.</w:t>
      </w:r>
    </w:p>
    <w:p w:rsidR="00631909" w:rsidRPr="00207DBD" w:rsidRDefault="00024962" w:rsidP="00530A0D">
      <w:pPr>
        <w:pStyle w:val="ECCParagraph"/>
      </w:pPr>
      <w:r w:rsidRPr="00877549">
        <w:t>This approach provides a more simplified and consistent regulatory treatment of such terminals since it requires them to comply with the same type of requirements as the fixed FSS terminals they are designed to emulate.</w:t>
      </w:r>
    </w:p>
    <w:p w:rsidR="00631909" w:rsidRPr="00207DBD" w:rsidRDefault="00024962" w:rsidP="00530A0D">
      <w:pPr>
        <w:pStyle w:val="Titre1"/>
      </w:pPr>
      <w:bookmarkStart w:id="77" w:name="_Toc302118924"/>
      <w:bookmarkStart w:id="78" w:name="_Toc304823068"/>
      <w:bookmarkStart w:id="79" w:name="_Toc305682009"/>
      <w:bookmarkStart w:id="80" w:name="_Toc183171047"/>
      <w:r w:rsidRPr="00877549">
        <w:t>Cross-border coordination</w:t>
      </w:r>
      <w:bookmarkEnd w:id="77"/>
      <w:bookmarkEnd w:id="78"/>
      <w:bookmarkEnd w:id="79"/>
      <w:bookmarkEnd w:id="80"/>
    </w:p>
    <w:p w:rsidR="00631909" w:rsidRPr="00207DBD" w:rsidRDefault="00024962" w:rsidP="00D23CBC">
      <w:pPr>
        <w:pStyle w:val="ECCParagraph"/>
        <w:rPr>
          <w:i/>
          <w:iCs/>
        </w:rPr>
      </w:pPr>
      <w:bookmarkStart w:id="81" w:name="_Toc304823069"/>
      <w:bookmarkStart w:id="82" w:name="_Toc302118925"/>
      <w:bookmarkStart w:id="83" w:name="_Toc305682010"/>
      <w:bookmarkStart w:id="84" w:name="_Toc183171048"/>
      <w:bookmarkEnd w:id="81"/>
      <w:bookmarkEnd w:id="82"/>
      <w:bookmarkEnd w:id="83"/>
      <w:bookmarkEnd w:id="84"/>
      <w:r w:rsidRPr="00877549">
        <w:rPr>
          <w:i/>
          <w:iCs/>
        </w:rPr>
        <w:t>[</w:t>
      </w:r>
      <w:proofErr w:type="gramStart"/>
      <w:r w:rsidRPr="00877549">
        <w:rPr>
          <w:i/>
          <w:iCs/>
        </w:rPr>
        <w:t>to</w:t>
      </w:r>
      <w:proofErr w:type="gramEnd"/>
      <w:r w:rsidRPr="00877549">
        <w:rPr>
          <w:i/>
          <w:iCs/>
        </w:rPr>
        <w:t xml:space="preserve"> be reviewed on the basis of the SE40 studies]</w:t>
      </w:r>
    </w:p>
    <w:p w:rsidR="00631909" w:rsidRPr="00207DBD" w:rsidRDefault="00024962" w:rsidP="00530A0D">
      <w:pPr>
        <w:pStyle w:val="ECCParagraph"/>
      </w:pPr>
      <w:r w:rsidRPr="00877549">
        <w:t>The implementation of ESOMPs in the frequency bands 27.5</w:t>
      </w:r>
      <w:r w:rsidR="00746818" w:rsidRPr="00207DBD">
        <w:t xml:space="preserve">–30.0 GHz and 17.3-20.2 GHz will </w:t>
      </w:r>
      <w:r w:rsidR="00A656B1">
        <w:t xml:space="preserve">be </w:t>
      </w:r>
      <w:r w:rsidR="00746818" w:rsidRPr="00207DBD">
        <w:t>limit</w:t>
      </w:r>
      <w:r w:rsidR="00A656B1">
        <w:t xml:space="preserve">ed </w:t>
      </w:r>
      <w:r w:rsidR="00746818" w:rsidRPr="00207DBD">
        <w:t xml:space="preserve">to the portions of </w:t>
      </w:r>
      <w:r w:rsidR="00A656B1">
        <w:t xml:space="preserve">these </w:t>
      </w:r>
      <w:r w:rsidR="00746818" w:rsidRPr="00207DBD">
        <w:t>bands in which uncoordinated FSS earth stations are allo</w:t>
      </w:r>
      <w:r w:rsidRPr="00877549">
        <w:t xml:space="preserve">wed. The Ka-band frequencies identified for uncoordinated FSS earth stations have been harmonised throughout CEPT by ECC Decisions ECC/DEC/(05)01 and ECC/DEC/(05)08.  Hence, in the general case, the bands available for ESOMPs will be common throughout Europe, and there would be no cross-border interference issues.  However in some cases, for example on the borders of CEPT, a band identified for uncoordinated FSS earth stations by one administration, could be used for terrestrial services by a neighbouring administration.  </w:t>
      </w:r>
    </w:p>
    <w:p w:rsidR="00631909" w:rsidRPr="00877549" w:rsidRDefault="00024962" w:rsidP="00530A0D">
      <w:pPr>
        <w:pStyle w:val="ECCParagraph"/>
      </w:pPr>
      <w:r w:rsidRPr="00877549">
        <w:t>The issue of potential cross-border interference caused by the use of uncoordinated FSS Earth stations in one country into FS stations in a neighbouring country has been addressed by Recommendation ITU-R SF.1707 which, among other things, provides an example, based on worst case assumptions, of how to develop a single transmit and a single receive coordination distance for consideration as a mean to ease bilateral agreements for a given geographical area. Also, Recommendation ITU-R SF.1719 has examined interference using more typical assumptions and indicates that far smaller separation distances are applicable in most practical cases.</w:t>
      </w:r>
    </w:p>
    <w:p w:rsidR="00631909" w:rsidRPr="00877549" w:rsidRDefault="00024962" w:rsidP="00530A0D">
      <w:pPr>
        <w:pStyle w:val="ECCParagraph"/>
      </w:pPr>
      <w:r w:rsidRPr="00877549">
        <w:t xml:space="preserve">When assessing the interference generated by aircraft-mounted ESOMPs, the studies mentioned in </w:t>
      </w:r>
      <w:r w:rsidRPr="00877549">
        <w:rPr>
          <w:highlight w:val="yellow"/>
        </w:rPr>
        <w:t>[Section 6.2.2]</w:t>
      </w:r>
      <w:r w:rsidRPr="00877549">
        <w:t xml:space="preserve"> of this document indicate that the potential area where any FS stations might be impacted is when the aircraft is below a certain altitude, which would typically be only within the vicinity of airports for takeoff and landing.  The use of the proposed pfd mask would allow administrations to authorise the operation of aircraft-mounted ESOMPs in bands for which neighbouring countries might operate terrestrial services. </w:t>
      </w:r>
    </w:p>
    <w:p w:rsidR="00631909" w:rsidRPr="00207DBD" w:rsidRDefault="00024962" w:rsidP="00530A0D">
      <w:pPr>
        <w:pStyle w:val="ECCParagraph"/>
      </w:pPr>
      <w:r w:rsidRPr="00877549">
        <w:t xml:space="preserve">In any case, it should be noted that the possibility of interference between FS stations and aircraft-mounted ESOMPs in the </w:t>
      </w:r>
      <w:r w:rsidR="000C69EB">
        <w:t xml:space="preserve">bands </w:t>
      </w:r>
      <w:r w:rsidRPr="00877549">
        <w:t xml:space="preserve">27.5-29.5 GHz and 17.3-19.7 GHz, beyond that </w:t>
      </w:r>
      <w:r w:rsidRPr="00877549">
        <w:lastRenderedPageBreak/>
        <w:t xml:space="preserve">posed by stationary uncoordinated FSS </w:t>
      </w:r>
      <w:r w:rsidRPr="00877549">
        <w:t>e</w:t>
      </w:r>
      <w:r w:rsidRPr="00877549">
        <w:t>arth stations, can be considered highly unlikely since it can occur only if the following circumstances are present simultaneously:</w:t>
      </w:r>
    </w:p>
    <w:p w:rsidR="00631909" w:rsidRPr="00207DBD" w:rsidRDefault="00024962" w:rsidP="00530A0D">
      <w:pPr>
        <w:pStyle w:val="ECCParBulleted"/>
        <w:numPr>
          <w:ilvl w:val="0"/>
          <w:numId w:val="48"/>
        </w:numPr>
      </w:pPr>
      <w:r w:rsidRPr="00877549">
        <w:t>FS stations in one country are deployed near the border of a neighbouring country that allows aircraft-mounted ESOMPs;</w:t>
      </w:r>
    </w:p>
    <w:p w:rsidR="00631909" w:rsidRPr="00207DBD" w:rsidRDefault="00024962" w:rsidP="00530A0D">
      <w:pPr>
        <w:pStyle w:val="ECCParBulleted"/>
        <w:numPr>
          <w:ilvl w:val="0"/>
          <w:numId w:val="48"/>
        </w:numPr>
      </w:pPr>
      <w:r w:rsidRPr="00877549">
        <w:t xml:space="preserve">The FS stations are not already limited by existing uncoordinated FSS </w:t>
      </w:r>
      <w:r w:rsidRPr="00877549">
        <w:t>e</w:t>
      </w:r>
      <w:r w:rsidRPr="00877549">
        <w:t>arth stations deployed in the neighbouring country;</w:t>
      </w:r>
    </w:p>
    <w:p w:rsidR="00631909" w:rsidRPr="00207DBD" w:rsidRDefault="00024962" w:rsidP="00530A0D">
      <w:pPr>
        <w:pStyle w:val="ECCParBulleted"/>
        <w:numPr>
          <w:ilvl w:val="0"/>
          <w:numId w:val="48"/>
        </w:numPr>
      </w:pPr>
      <w:r w:rsidRPr="00877549">
        <w:t>The FS stations are deployed near an airport located in the neighbouring country;</w:t>
      </w:r>
    </w:p>
    <w:p w:rsidR="00631909" w:rsidRPr="00207DBD" w:rsidRDefault="00024962" w:rsidP="00530A0D">
      <w:pPr>
        <w:pStyle w:val="ECCParBulleted"/>
        <w:numPr>
          <w:ilvl w:val="0"/>
          <w:numId w:val="48"/>
        </w:numPr>
      </w:pPr>
      <w:r w:rsidRPr="00877549">
        <w:t>The neighbouring country allows aircraft-mounted ESOMPs to operate below a minimum altitude;</w:t>
      </w:r>
    </w:p>
    <w:p w:rsidR="00631909" w:rsidRPr="00207DBD" w:rsidRDefault="00024962" w:rsidP="00530A0D">
      <w:pPr>
        <w:pStyle w:val="ECCParBulleted"/>
        <w:numPr>
          <w:ilvl w:val="0"/>
          <w:numId w:val="48"/>
        </w:numPr>
      </w:pPr>
      <w:r w:rsidRPr="00877549">
        <w:t>The FS stations are pointing North (aircraft-mounted ESOMPs operating in Europe will never point towards the North, so there will never be a case of main beam to main beam interference from an aircraft-mounted ESOMP into a South-pointing FS station).</w:t>
      </w:r>
    </w:p>
    <w:p w:rsidR="00631909" w:rsidRPr="00207DBD" w:rsidRDefault="00631909" w:rsidP="00E27033">
      <w:pPr>
        <w:pStyle w:val="ECCParBulleted"/>
      </w:pPr>
    </w:p>
    <w:p w:rsidR="00631909" w:rsidRPr="00207DBD" w:rsidRDefault="00024962" w:rsidP="00530A0D">
      <w:pPr>
        <w:pStyle w:val="ECCParagraph"/>
      </w:pPr>
      <w:r w:rsidRPr="00877549">
        <w:t>If all these conditions exist, administrations could still define a protection area around airports in order to protect FS stations in neighbouring countries.</w:t>
      </w:r>
      <w:bookmarkStart w:id="85" w:name="_Toc302118926"/>
      <w:bookmarkStart w:id="86" w:name="_Toc304823070"/>
      <w:bookmarkStart w:id="87" w:name="_Toc305682011"/>
    </w:p>
    <w:p w:rsidR="00631909" w:rsidRPr="00207DBD" w:rsidRDefault="00024962" w:rsidP="00530A0D">
      <w:pPr>
        <w:pStyle w:val="Titre1"/>
      </w:pPr>
      <w:bookmarkStart w:id="88" w:name="_Toc183171049"/>
      <w:r w:rsidRPr="00877549">
        <w:t>Conclusions</w:t>
      </w:r>
      <w:bookmarkEnd w:id="85"/>
      <w:bookmarkEnd w:id="86"/>
      <w:bookmarkEnd w:id="87"/>
      <w:bookmarkEnd w:id="88"/>
    </w:p>
    <w:p w:rsidR="00631909" w:rsidRPr="00207DBD" w:rsidRDefault="00631909" w:rsidP="00530A0D">
      <w:pPr>
        <w:pStyle w:val="ECCParagraph"/>
      </w:pPr>
    </w:p>
    <w:p w:rsidR="00631909" w:rsidRPr="00207DBD" w:rsidRDefault="00024962" w:rsidP="00C14056">
      <w:pPr>
        <w:pStyle w:val="ECCParagraph"/>
      </w:pPr>
      <w:r w:rsidRPr="00877549">
        <w:t>Ka-band FSS networks capable of providing ESOMP services in Europe are already in operation and operators are planning to introduce ESOMP services in Europe in the near future.</w:t>
      </w:r>
    </w:p>
    <w:p w:rsidR="00631909" w:rsidRPr="00207DBD" w:rsidRDefault="00024962" w:rsidP="00C14056">
      <w:pPr>
        <w:pStyle w:val="ECCParagraph"/>
      </w:pPr>
      <w:r w:rsidRPr="00877549">
        <w:t>This report has examined possible regulatory approaches to allow the CEPT administrations to authorise ESOMPs to operate in FSS networks in the Ka-band.  It is recommended that a new ECC Decision be developed, with the following elements:</w:t>
      </w:r>
    </w:p>
    <w:p w:rsidR="00D049DA" w:rsidRPr="00207DBD" w:rsidRDefault="00024962">
      <w:pPr>
        <w:pStyle w:val="ECCParagraph"/>
        <w:numPr>
          <w:ilvl w:val="0"/>
          <w:numId w:val="50"/>
        </w:numPr>
      </w:pPr>
      <w:r w:rsidRPr="00877549">
        <w:t>Authorising the use of ESOMPs operating in FSS networks in the Ka-band frequencies designated by administrations for uncoordinated FSS earth stations.</w:t>
      </w:r>
    </w:p>
    <w:p w:rsidR="00D049DA" w:rsidRPr="00207DBD" w:rsidRDefault="00024962">
      <w:pPr>
        <w:pStyle w:val="ECCParagraph"/>
        <w:numPr>
          <w:ilvl w:val="0"/>
          <w:numId w:val="50"/>
        </w:numPr>
      </w:pPr>
      <w:r w:rsidRPr="00877549">
        <w:t>Establishing the technical and operational requirements for ESOMPs to avoid causing interference to other services and systems.</w:t>
      </w:r>
    </w:p>
    <w:p w:rsidR="00BE0A41" w:rsidRPr="00207DBD" w:rsidRDefault="00024962">
      <w:pPr>
        <w:pStyle w:val="ECCParagraph"/>
        <w:numPr>
          <w:ilvl w:val="0"/>
          <w:numId w:val="50"/>
        </w:numPr>
      </w:pPr>
      <w:r w:rsidRPr="00877549">
        <w:t>To establish the free circulation of ESOMPs, subject to national licensing requirements.</w:t>
      </w:r>
    </w:p>
    <w:p w:rsidR="00746818" w:rsidRPr="00207DBD" w:rsidRDefault="00746818" w:rsidP="00746818">
      <w:pPr>
        <w:ind w:left="720"/>
        <w:rPr>
          <w:lang w:val="en-GB"/>
        </w:rPr>
      </w:pPr>
    </w:p>
    <w:p w:rsidR="0003009C" w:rsidRPr="00877549" w:rsidRDefault="00024962" w:rsidP="0003009C">
      <w:pPr>
        <w:rPr>
          <w:lang w:val="en-GB"/>
        </w:rPr>
      </w:pPr>
      <w:r w:rsidRPr="00877549">
        <w:rPr>
          <w:lang w:val="en-GB"/>
        </w:rPr>
        <w:t>Taking into account that ESOMPs networks are planned to be launched in a short time frame, it is in the interest of operators, users and the CEPT regulators to have an agreed framework in place to harmonize their operations as soon as possible.</w:t>
      </w:r>
    </w:p>
    <w:p w:rsidR="0003009C" w:rsidRPr="00877549" w:rsidRDefault="0003009C" w:rsidP="00530A0D">
      <w:pPr>
        <w:pStyle w:val="ECCParagraph"/>
      </w:pPr>
    </w:p>
    <w:p w:rsidR="00631909" w:rsidRPr="00207DBD" w:rsidRDefault="00631909" w:rsidP="00A10264">
      <w:pPr>
        <w:pStyle w:val="ECCParagraph"/>
      </w:pPr>
    </w:p>
    <w:p w:rsidR="00631909" w:rsidRPr="00207DBD" w:rsidRDefault="00631909" w:rsidP="00A10264">
      <w:pPr>
        <w:pStyle w:val="ECCParagraph"/>
      </w:pPr>
    </w:p>
    <w:p w:rsidR="00631909" w:rsidRPr="00207DBD" w:rsidRDefault="00631909">
      <w:pPr>
        <w:rPr>
          <w:lang w:val="en-GB"/>
        </w:rPr>
        <w:sectPr w:rsidR="00631909" w:rsidRPr="00207DBD" w:rsidSect="00AC0A94">
          <w:headerReference w:type="even" r:id="rId18"/>
          <w:headerReference w:type="default" r:id="rId19"/>
          <w:headerReference w:type="first" r:id="rId20"/>
          <w:pgSz w:w="11907" w:h="16840" w:code="9"/>
          <w:pgMar w:top="1440" w:right="1134" w:bottom="1440" w:left="1134" w:header="709" w:footer="709" w:gutter="0"/>
          <w:cols w:space="708"/>
          <w:docGrid w:linePitch="360"/>
        </w:sectPr>
      </w:pPr>
    </w:p>
    <w:p w:rsidR="00631909" w:rsidRPr="00207DBD" w:rsidRDefault="00631909" w:rsidP="00B75A92">
      <w:pPr>
        <w:pStyle w:val="ECCAnnex-heading1"/>
      </w:pPr>
      <w:bookmarkStart w:id="89" w:name="_Toc169147730"/>
      <w:bookmarkStart w:id="90" w:name="_Toc304823071"/>
      <w:bookmarkStart w:id="91" w:name="_Toc302118927"/>
      <w:bookmarkStart w:id="92" w:name="_Toc305682012"/>
      <w:bookmarkStart w:id="93" w:name="_Toc183171050"/>
      <w:r w:rsidRPr="00207DBD">
        <w:lastRenderedPageBreak/>
        <w:t>heading</w:t>
      </w:r>
      <w:bookmarkEnd w:id="89"/>
      <w:bookmarkEnd w:id="90"/>
      <w:bookmarkEnd w:id="91"/>
      <w:bookmarkEnd w:id="92"/>
      <w:bookmarkEnd w:id="93"/>
    </w:p>
    <w:p w:rsidR="00631909" w:rsidRPr="00207DBD" w:rsidRDefault="00746818" w:rsidP="00A10264">
      <w:pPr>
        <w:pStyle w:val="ECCParagraph"/>
      </w:pPr>
      <w:r w:rsidRPr="00207DBD">
        <w:t>Just as an example if needed</w:t>
      </w:r>
    </w:p>
    <w:p w:rsidR="00631909" w:rsidRPr="00207DBD" w:rsidRDefault="00631909" w:rsidP="00A10264">
      <w:pPr>
        <w:pStyle w:val="ECCParagraph"/>
      </w:pPr>
      <w:r w:rsidRPr="00207DBD">
        <w:t>Body text (style: ECC Paragraph)</w:t>
      </w:r>
    </w:p>
    <w:p w:rsidR="00631909" w:rsidRPr="00877549" w:rsidRDefault="00024962" w:rsidP="00A10264">
      <w:pPr>
        <w:pStyle w:val="ECCAnnexheading2"/>
        <w:rPr>
          <w:lang w:val="en-GB"/>
        </w:rPr>
      </w:pPr>
      <w:r w:rsidRPr="00877549">
        <w:rPr>
          <w:lang w:val="en-GB"/>
        </w:rPr>
        <w:t>heading 2</w:t>
      </w:r>
    </w:p>
    <w:p w:rsidR="00631909" w:rsidRPr="00877549" w:rsidRDefault="00024962" w:rsidP="00A10264">
      <w:pPr>
        <w:pStyle w:val="ECCAnnexheading3"/>
        <w:rPr>
          <w:lang w:val="en-GB"/>
        </w:rPr>
      </w:pPr>
      <w:r w:rsidRPr="00877549">
        <w:rPr>
          <w:lang w:val="en-GB"/>
        </w:rPr>
        <w:t>Heading 3</w:t>
      </w:r>
    </w:p>
    <w:p w:rsidR="00631909" w:rsidRPr="00877549" w:rsidRDefault="00024962" w:rsidP="00A10264">
      <w:pPr>
        <w:pStyle w:val="ECCAnnexheading4"/>
        <w:rPr>
          <w:lang w:val="en-GB"/>
        </w:rPr>
      </w:pPr>
      <w:r w:rsidRPr="00877549">
        <w:rPr>
          <w:lang w:val="en-GB"/>
        </w:rPr>
        <w:t>Heading 4</w:t>
      </w:r>
    </w:p>
    <w:p w:rsidR="00631909" w:rsidRPr="00207DBD" w:rsidRDefault="00631909" w:rsidP="00A10264">
      <w:pPr>
        <w:pStyle w:val="ECCParagraph"/>
      </w:pPr>
    </w:p>
    <w:p w:rsidR="00631909" w:rsidRPr="00207DBD" w:rsidRDefault="00631909" w:rsidP="00A10264">
      <w:pPr>
        <w:pStyle w:val="ECCParagraph"/>
      </w:pPr>
    </w:p>
    <w:p w:rsidR="00631909" w:rsidRPr="00207DBD" w:rsidRDefault="00024962" w:rsidP="00B75A92">
      <w:pPr>
        <w:pStyle w:val="ECCAnnex-heading1"/>
      </w:pPr>
      <w:bookmarkStart w:id="94" w:name="_Toc304823072"/>
      <w:bookmarkStart w:id="95" w:name="_Toc302118928"/>
      <w:bookmarkStart w:id="96" w:name="_Toc305682013"/>
      <w:bookmarkStart w:id="97" w:name="_Toc183171051"/>
      <w:r w:rsidRPr="00877549">
        <w:t>List of reference</w:t>
      </w:r>
      <w:bookmarkEnd w:id="94"/>
      <w:bookmarkEnd w:id="95"/>
      <w:bookmarkEnd w:id="96"/>
      <w:bookmarkEnd w:id="97"/>
    </w:p>
    <w:p w:rsidR="00631909" w:rsidRPr="00877549" w:rsidRDefault="00024962" w:rsidP="002C6D63">
      <w:pPr>
        <w:pStyle w:val="reference"/>
        <w:numPr>
          <w:ilvl w:val="0"/>
          <w:numId w:val="7"/>
        </w:numPr>
        <w:rPr>
          <w:lang w:val="en-GB"/>
        </w:rPr>
      </w:pPr>
      <w:r w:rsidRPr="00877549">
        <w:rPr>
          <w:lang w:val="en-GB"/>
        </w:rPr>
        <w:t>Reference one (style: reference)</w:t>
      </w:r>
    </w:p>
    <w:p w:rsidR="00631909" w:rsidRPr="00877549" w:rsidRDefault="00024962" w:rsidP="00A10264">
      <w:pPr>
        <w:pStyle w:val="reference"/>
        <w:rPr>
          <w:lang w:val="en-GB"/>
        </w:rPr>
      </w:pPr>
      <w:r w:rsidRPr="00877549">
        <w:rPr>
          <w:lang w:val="en-GB"/>
        </w:rPr>
        <w:t>Reference two</w:t>
      </w:r>
    </w:p>
    <w:p w:rsidR="00631909" w:rsidRPr="00877549" w:rsidRDefault="00024962" w:rsidP="00A10264">
      <w:pPr>
        <w:pStyle w:val="reference"/>
        <w:rPr>
          <w:lang w:val="en-GB"/>
        </w:rPr>
      </w:pPr>
      <w:r w:rsidRPr="00877549">
        <w:rPr>
          <w:lang w:val="en-GB"/>
        </w:rPr>
        <w:t>Etc.</w:t>
      </w:r>
    </w:p>
    <w:p w:rsidR="00631909" w:rsidRPr="00207DBD" w:rsidRDefault="00631909" w:rsidP="00A10264">
      <w:pPr>
        <w:pStyle w:val="ECCParagraph"/>
      </w:pPr>
    </w:p>
    <w:sectPr w:rsidR="00631909" w:rsidRPr="00207DBD" w:rsidSect="00A10264">
      <w:pgSz w:w="11907" w:h="16840" w:code="9"/>
      <w:pgMar w:top="1440" w:right="1134" w:bottom="1440" w:left="1134" w:header="709" w:footer="709" w:gutter="0"/>
      <w:cols w:space="708"/>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66" w:author="Your User Name" w:date="2012-03-14T15:27:00Z" w:initials="YUN">
    <w:p w:rsidR="005B4D1B" w:rsidRDefault="005B4D1B">
      <w:pPr>
        <w:pStyle w:val="Commentaire"/>
      </w:pPr>
      <w:r>
        <w:rPr>
          <w:rStyle w:val="Marquedecommentaire"/>
        </w:rPr>
        <w:annotationRef/>
      </w:r>
      <w:r>
        <w:t>Text will be replaced with the final findings from SE40.</w:t>
      </w:r>
    </w:p>
  </w:comment>
</w:comment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2584E" w:rsidRDefault="0062584E" w:rsidP="00A10264">
      <w:r>
        <w:separator/>
      </w:r>
    </w:p>
  </w:endnote>
  <w:endnote w:type="continuationSeparator" w:id="0">
    <w:p w:rsidR="0062584E" w:rsidRDefault="0062584E" w:rsidP="00A10264">
      <w:r>
        <w:continuationSeparator/>
      </w:r>
    </w:p>
  </w:endnote>
  <w:endnote w:type="continuationNotice" w:id="1">
    <w:p w:rsidR="0062584E" w:rsidRDefault="0062584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Arial Bold">
    <w:altName w:val="Courier New"/>
    <w:charset w:val="00"/>
    <w:family w:val="auto"/>
    <w:pitch w:val="variable"/>
    <w:sig w:usb0="00000000"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MS ??">
    <w:altName w:val="MS Mincho"/>
    <w:panose1 w:val="00000000000000000000"/>
    <w:charset w:val="80"/>
    <w:family w:val="auto"/>
    <w:notTrueType/>
    <w:pitch w:val="variable"/>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MS ????">
    <w:panose1 w:val="00000000000000000000"/>
    <w:charset w:val="80"/>
    <w:family w:val="auto"/>
    <w:notTrueType/>
    <w:pitch w:val="variable"/>
    <w:sig w:usb0="00000001" w:usb1="08070000" w:usb2="00000010" w:usb3="00000000" w:csb0="00020000" w:csb1="00000000"/>
  </w:font>
  <w:font w:name="Times">
    <w:panose1 w:val="02020603050405020304"/>
    <w:charset w:val="00"/>
    <w:family w:val="roman"/>
    <w:notTrueType/>
    <w:pitch w:val="variable"/>
    <w:sig w:usb0="00000003" w:usb1="00000000" w:usb2="00000000" w:usb3="00000000" w:csb0="00000001" w:csb1="00000000"/>
  </w:font>
  <w:font w:name="Lucida Grande">
    <w:altName w:val="Times New Roman"/>
    <w:charset w:val="00"/>
    <w:family w:val="auto"/>
    <w:pitch w:val="variable"/>
    <w:sig w:usb0="00000000" w:usb1="5000A1FF" w:usb2="00000000" w:usb3="00000000" w:csb0="000001B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2584E" w:rsidRDefault="0062584E" w:rsidP="00A10264">
      <w:r>
        <w:separator/>
      </w:r>
    </w:p>
  </w:footnote>
  <w:footnote w:type="continuationSeparator" w:id="0">
    <w:p w:rsidR="0062584E" w:rsidRDefault="0062584E" w:rsidP="00A10264">
      <w:r>
        <w:continuationSeparator/>
      </w:r>
    </w:p>
  </w:footnote>
  <w:footnote w:type="continuationNotice" w:id="1">
    <w:p w:rsidR="0062584E" w:rsidRDefault="0062584E"/>
  </w:footnote>
  <w:footnote w:id="2">
    <w:p w:rsidR="009A3FE8" w:rsidRPr="00D049DA" w:rsidRDefault="009A3FE8">
      <w:pPr>
        <w:pStyle w:val="Notedebasdepage"/>
        <w:rPr>
          <w:lang w:val="en-GB"/>
        </w:rPr>
      </w:pPr>
      <w:r>
        <w:rPr>
          <w:rStyle w:val="Appelnotedebasdep"/>
        </w:rPr>
        <w:footnoteRef/>
      </w:r>
      <w:r>
        <w:rPr>
          <w:lang w:val="en-GB"/>
        </w:rPr>
        <w:t>S</w:t>
      </w:r>
      <w:r w:rsidRPr="00E71582">
        <w:rPr>
          <w:lang w:val="en-GB"/>
        </w:rPr>
        <w:t xml:space="preserve">uch as Avanti’s HYLAS-1 and </w:t>
      </w:r>
      <w:proofErr w:type="spellStart"/>
      <w:r w:rsidRPr="00E71582">
        <w:rPr>
          <w:lang w:val="en-GB"/>
        </w:rPr>
        <w:t>Eutelsat’s</w:t>
      </w:r>
      <w:proofErr w:type="spellEnd"/>
      <w:r w:rsidRPr="00E71582">
        <w:rPr>
          <w:lang w:val="en-GB"/>
        </w:rPr>
        <w:t xml:space="preserve"> KA-SAT satellite systems</w:t>
      </w:r>
      <w:r>
        <w:rPr>
          <w:lang w:val="en-GB"/>
        </w:rPr>
        <w:t>.</w:t>
      </w:r>
    </w:p>
  </w:footnote>
  <w:footnote w:id="3">
    <w:p w:rsidR="009A3FE8" w:rsidRPr="00877549" w:rsidRDefault="009A3FE8">
      <w:pPr>
        <w:pStyle w:val="Notedebasdepage"/>
        <w:rPr>
          <w:lang w:val="en-GB"/>
        </w:rPr>
      </w:pPr>
      <w:r w:rsidRPr="00826245">
        <w:rPr>
          <w:rStyle w:val="Appelnotedebasdep"/>
          <w:sz w:val="22"/>
          <w:szCs w:val="22"/>
        </w:rPr>
        <w:footnoteRef/>
      </w:r>
      <w:r w:rsidRPr="00410CB1">
        <w:rPr>
          <w:lang w:val="en-GB"/>
        </w:rPr>
        <w:t xml:space="preserve">Report to the 2003 World </w:t>
      </w:r>
      <w:proofErr w:type="spellStart"/>
      <w:r w:rsidRPr="00410CB1">
        <w:rPr>
          <w:lang w:val="en-GB"/>
        </w:rPr>
        <w:t>Radiocommunication</w:t>
      </w:r>
      <w:proofErr w:type="spellEnd"/>
      <w:r w:rsidRPr="00410CB1">
        <w:rPr>
          <w:lang w:val="en-GB"/>
        </w:rPr>
        <w:t xml:space="preserve"> Conference (WRC-03) at 2.4.2.</w:t>
      </w:r>
    </w:p>
  </w:footnote>
  <w:footnote w:id="4">
    <w:p w:rsidR="009A3FE8" w:rsidRDefault="009A3FE8" w:rsidP="00A75FD8">
      <w:pPr>
        <w:pStyle w:val="ECCFootnote"/>
      </w:pPr>
      <w:r>
        <w:rPr>
          <w:rStyle w:val="Appelnotedebasdep"/>
        </w:rPr>
        <w:footnoteRef/>
      </w:r>
      <w:r>
        <w:tab/>
      </w:r>
      <w:r w:rsidRPr="00FC14BE">
        <w:t>In the case where</w:t>
      </w:r>
      <w:r>
        <w:t xml:space="preserve"> administrations may also choose to allow operation of aircraft mounted ESOMPs on the ground at airports, the cross-border sharing issues would be the same as with other </w:t>
      </w:r>
      <w:r>
        <w:t>e</w:t>
      </w:r>
      <w:r>
        <w:t>arth stations.</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3FE8" w:rsidRPr="007C5F95" w:rsidRDefault="0062584E">
    <w:pPr>
      <w:pStyle w:val="En-tte"/>
      <w:rPr>
        <w:b w:val="0"/>
        <w:lang w:val="da-DK"/>
      </w:rPr>
    </w:pPr>
    <w:r>
      <w:rPr>
        <w:noProof/>
        <w:lang w:val="fr-FR" w:eastAsia="fr-FR"/>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775508" o:spid="_x0000_s2050" type="#_x0000_t136" style="position:absolute;margin-left:0;margin-top:0;width:485.35pt;height:194.1pt;rotation:315;z-index:-251659264;mso-position-horizontal:center;mso-position-horizontal-relative:margin;mso-position-vertical:center;mso-position-vertical-relative:margin" o:allowincell="f" fillcolor="silver" stroked="f">
          <v:fill opacity=".5"/>
          <v:textpath style="font-family:&quot;Arial&quot;;font-size:1pt" string="DRAFT"/>
          <w10:wrap anchorx="margin" anchory="margin"/>
        </v:shape>
      </w:pict>
    </w:r>
    <w:r w:rsidR="009A3FE8" w:rsidRPr="007C5F95">
      <w:rPr>
        <w:b w:val="0"/>
        <w:lang w:val="da-DK"/>
      </w:rPr>
      <w:t>Draft ECC REPORT XXX</w:t>
    </w:r>
  </w:p>
  <w:p w:rsidR="009A3FE8" w:rsidRPr="007C5F95" w:rsidRDefault="009A3FE8">
    <w:pPr>
      <w:pStyle w:val="En-tte"/>
      <w:rPr>
        <w:szCs w:val="16"/>
        <w:lang w:val="da-DK"/>
      </w:rPr>
    </w:pPr>
    <w:r>
      <w:rPr>
        <w:szCs w:val="16"/>
        <w:lang w:val="da-DK"/>
      </w:rPr>
      <w:t xml:space="preserve">Page </w:t>
    </w:r>
    <w:r>
      <w:rPr>
        <w:szCs w:val="16"/>
        <w:lang w:val="da-DK"/>
      </w:rPr>
      <w:fldChar w:fldCharType="begin"/>
    </w:r>
    <w:r>
      <w:rPr>
        <w:szCs w:val="16"/>
        <w:lang w:val="da-DK"/>
      </w:rPr>
      <w:instrText xml:space="preserve"> PAGE  \* Arabic  \* MERGEFORMAT </w:instrText>
    </w:r>
    <w:r>
      <w:rPr>
        <w:szCs w:val="16"/>
        <w:lang w:val="da-DK"/>
      </w:rPr>
      <w:fldChar w:fldCharType="separate"/>
    </w:r>
    <w:r w:rsidR="00877549">
      <w:rPr>
        <w:noProof/>
        <w:szCs w:val="16"/>
        <w:lang w:val="da-DK"/>
      </w:rPr>
      <w:t>2</w:t>
    </w:r>
    <w:r>
      <w:rPr>
        <w:szCs w:val="16"/>
        <w:lang w:val="da-DK"/>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3FE8" w:rsidRPr="007C5F95" w:rsidRDefault="0062584E" w:rsidP="00A10264">
    <w:pPr>
      <w:pStyle w:val="En-tte"/>
      <w:jc w:val="right"/>
      <w:rPr>
        <w:b w:val="0"/>
        <w:lang w:val="da-DK"/>
      </w:rPr>
    </w:pPr>
    <w:r>
      <w:rPr>
        <w:noProof/>
        <w:lang w:val="fr-FR" w:eastAsia="fr-FR"/>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775509" o:spid="_x0000_s2051" type="#_x0000_t136" style="position:absolute;left:0;text-align:left;margin-left:0;margin-top:0;width:485.35pt;height:194.1pt;rotation:315;z-index:-251658240;mso-position-horizontal:center;mso-position-horizontal-relative:margin;mso-position-vertical:center;mso-position-vertical-relative:margin" o:allowincell="f" fillcolor="silver" stroked="f">
          <v:fill opacity=".5"/>
          <v:textpath style="font-family:&quot;Arial&quot;;font-size:1pt" string="DRAFT"/>
          <w10:wrap anchorx="margin" anchory="margin"/>
        </v:shape>
      </w:pict>
    </w:r>
    <w:r w:rsidR="009A3FE8" w:rsidRPr="007C5F95">
      <w:rPr>
        <w:b w:val="0"/>
        <w:lang w:val="da-DK"/>
      </w:rPr>
      <w:t>Draft ECC REPORT XXX</w:t>
    </w:r>
  </w:p>
  <w:p w:rsidR="009A3FE8" w:rsidRPr="007C5F95" w:rsidRDefault="009A3FE8" w:rsidP="00A10264">
    <w:pPr>
      <w:pStyle w:val="En-tte"/>
      <w:jc w:val="right"/>
      <w:rPr>
        <w:szCs w:val="16"/>
        <w:lang w:val="da-DK"/>
      </w:rPr>
    </w:pPr>
    <w:r>
      <w:rPr>
        <w:szCs w:val="16"/>
        <w:lang w:val="da-DK"/>
      </w:rPr>
      <w:t xml:space="preserve">Page </w:t>
    </w:r>
    <w:r>
      <w:rPr>
        <w:szCs w:val="16"/>
        <w:lang w:val="da-DK"/>
      </w:rPr>
      <w:fldChar w:fldCharType="begin"/>
    </w:r>
    <w:r>
      <w:rPr>
        <w:szCs w:val="16"/>
        <w:lang w:val="da-DK"/>
      </w:rPr>
      <w:instrText xml:space="preserve"> PAGE  \* Arabic  \* MERGEFORMAT </w:instrText>
    </w:r>
    <w:r>
      <w:rPr>
        <w:szCs w:val="16"/>
        <w:lang w:val="da-DK"/>
      </w:rPr>
      <w:fldChar w:fldCharType="separate"/>
    </w:r>
    <w:r>
      <w:rPr>
        <w:noProof/>
        <w:szCs w:val="16"/>
        <w:lang w:val="da-DK"/>
      </w:rPr>
      <w:t>3</w:t>
    </w:r>
    <w:r>
      <w:rPr>
        <w:szCs w:val="16"/>
        <w:lang w:val="da-DK"/>
      </w:rP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3FE8" w:rsidRDefault="0062584E">
    <w:pPr>
      <w:pStyle w:val="En-tte"/>
    </w:pPr>
    <w:r>
      <w:rPr>
        <w:noProof/>
        <w:lang w:val="fr-FR" w:eastAsia="fr-FR"/>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775507" o:spid="_x0000_s2049" type="#_x0000_t136" style="position:absolute;margin-left:0;margin-top:0;width:485.35pt;height:194.1pt;rotation:315;z-index:-251660288;mso-position-horizontal:center;mso-position-horizontal-relative:margin;mso-position-vertical:center;mso-position-vertical-relative:margin" o:allowincell="f" fillcolor="silver" stroked="f">
          <v:fill opacity=".5"/>
          <v:textpath style="font-family:&quot;Arial&quot;;font-size:1pt" string="DRAFT"/>
          <w10:wrap anchorx="margin" anchory="margin"/>
        </v:shape>
      </w:pic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3FE8" w:rsidRPr="007C5F95" w:rsidRDefault="0062584E">
    <w:pPr>
      <w:pStyle w:val="En-tte"/>
      <w:rPr>
        <w:szCs w:val="16"/>
        <w:lang w:val="da-DK"/>
      </w:rPr>
    </w:pPr>
    <w:r>
      <w:rPr>
        <w:noProof/>
        <w:lang w:val="fr-FR" w:eastAsia="fr-FR"/>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775511" o:spid="_x0000_s2053" type="#_x0000_t136" style="position:absolute;margin-left:0;margin-top:0;width:485.35pt;height:194.1pt;rotation:315;z-index:-251656192;mso-position-horizontal:center;mso-position-horizontal-relative:margin;mso-position-vertical:center;mso-position-vertical-relative:margin" o:allowincell="f" fillcolor="silver" stroked="f">
          <v:fill opacity=".5"/>
          <v:textpath style="font-family:&quot;Arial&quot;;font-size:1pt" string="DRAFT"/>
          <w10:wrap anchorx="margin" anchory="margin"/>
        </v:shape>
      </w:pict>
    </w:r>
    <w:r w:rsidR="009A3FE8">
      <w:rPr>
        <w:lang w:val="da-DK"/>
      </w:rPr>
      <w:t xml:space="preserve">DRAFT </w:t>
    </w:r>
    <w:r w:rsidR="009A3FE8" w:rsidRPr="007C5F95">
      <w:rPr>
        <w:lang w:val="da-DK"/>
      </w:rPr>
      <w:t xml:space="preserve">ECC REPORT </w:t>
    </w:r>
    <w:r w:rsidR="009A3FE8">
      <w:rPr>
        <w:lang w:val="da-DK"/>
      </w:rPr>
      <w:t xml:space="preserve">XX – </w:t>
    </w:r>
    <w:r w:rsidR="009A3FE8">
      <w:rPr>
        <w:szCs w:val="16"/>
        <w:lang w:val="da-DK"/>
      </w:rPr>
      <w:t xml:space="preserve">Page </w:t>
    </w:r>
    <w:r w:rsidR="009A3FE8">
      <w:rPr>
        <w:szCs w:val="16"/>
        <w:lang w:val="da-DK"/>
      </w:rPr>
      <w:fldChar w:fldCharType="begin"/>
    </w:r>
    <w:r w:rsidR="009A3FE8">
      <w:rPr>
        <w:szCs w:val="16"/>
        <w:lang w:val="da-DK"/>
      </w:rPr>
      <w:instrText xml:space="preserve"> PAGE  \* Arabic  \* MERGEFORMAT </w:instrText>
    </w:r>
    <w:r w:rsidR="009A3FE8">
      <w:rPr>
        <w:szCs w:val="16"/>
        <w:lang w:val="da-DK"/>
      </w:rPr>
      <w:fldChar w:fldCharType="separate"/>
    </w:r>
    <w:r w:rsidR="00877549">
      <w:rPr>
        <w:noProof/>
        <w:szCs w:val="16"/>
        <w:lang w:val="da-DK"/>
      </w:rPr>
      <w:t>2</w:t>
    </w:r>
    <w:r w:rsidR="009A3FE8">
      <w:rPr>
        <w:szCs w:val="16"/>
        <w:lang w:val="da-DK"/>
      </w:rP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3FE8" w:rsidRPr="007C5F95" w:rsidRDefault="0062584E" w:rsidP="00A10264">
    <w:pPr>
      <w:pStyle w:val="En-tte"/>
      <w:jc w:val="right"/>
      <w:rPr>
        <w:szCs w:val="16"/>
        <w:lang w:val="da-DK"/>
      </w:rPr>
    </w:pPr>
    <w:r>
      <w:rPr>
        <w:noProof/>
        <w:lang w:val="fr-FR" w:eastAsia="fr-FR"/>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775512" o:spid="_x0000_s2054" type="#_x0000_t136" style="position:absolute;left:0;text-align:left;margin-left:0;margin-top:0;width:485.35pt;height:194.1pt;rotation:315;z-index:-251655168;mso-position-horizontal:center;mso-position-horizontal-relative:margin;mso-position-vertical:center;mso-position-vertical-relative:margin" o:allowincell="f" fillcolor="silver" stroked="f">
          <v:fill opacity=".5"/>
          <v:textpath style="font-family:&quot;Arial&quot;;font-size:1pt" string="DRAFT"/>
          <w10:wrap anchorx="margin" anchory="margin"/>
        </v:shape>
      </w:pict>
    </w:r>
    <w:r w:rsidR="009A3FE8">
      <w:rPr>
        <w:lang w:val="da-DK"/>
      </w:rPr>
      <w:t xml:space="preserve">DRAFT </w:t>
    </w:r>
    <w:r w:rsidR="009A3FE8" w:rsidRPr="007C5F95">
      <w:rPr>
        <w:lang w:val="da-DK"/>
      </w:rPr>
      <w:t xml:space="preserve">ECC REPORT </w:t>
    </w:r>
    <w:r w:rsidR="009A3FE8">
      <w:rPr>
        <w:lang w:val="da-DK"/>
      </w:rPr>
      <w:t xml:space="preserve">XX – </w:t>
    </w:r>
    <w:r w:rsidR="009A3FE8">
      <w:rPr>
        <w:szCs w:val="16"/>
        <w:lang w:val="da-DK"/>
      </w:rPr>
      <w:t xml:space="preserve">Page </w:t>
    </w:r>
    <w:r w:rsidR="009A3FE8">
      <w:rPr>
        <w:szCs w:val="16"/>
        <w:lang w:val="da-DK"/>
      </w:rPr>
      <w:fldChar w:fldCharType="begin"/>
    </w:r>
    <w:r w:rsidR="009A3FE8">
      <w:rPr>
        <w:szCs w:val="16"/>
        <w:lang w:val="da-DK"/>
      </w:rPr>
      <w:instrText xml:space="preserve"> PAGE  \* Arabic  \* MERGEFORMAT </w:instrText>
    </w:r>
    <w:r w:rsidR="009A3FE8">
      <w:rPr>
        <w:szCs w:val="16"/>
        <w:lang w:val="da-DK"/>
      </w:rPr>
      <w:fldChar w:fldCharType="separate"/>
    </w:r>
    <w:r w:rsidR="00877549">
      <w:rPr>
        <w:noProof/>
        <w:szCs w:val="16"/>
        <w:lang w:val="da-DK"/>
      </w:rPr>
      <w:t>3</w:t>
    </w:r>
    <w:r w:rsidR="009A3FE8">
      <w:rPr>
        <w:szCs w:val="16"/>
        <w:lang w:val="da-DK"/>
      </w:rP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3FE8" w:rsidRPr="001223D0" w:rsidRDefault="0062584E" w:rsidP="00A10264">
    <w:pPr>
      <w:pStyle w:val="En-tte"/>
      <w:rPr>
        <w:szCs w:val="16"/>
      </w:rPr>
    </w:pPr>
    <w:r>
      <w:rPr>
        <w:noProof/>
        <w:lang w:val="fr-FR" w:eastAsia="fr-FR"/>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775510" o:spid="_x0000_s2052" type="#_x0000_t136" style="position:absolute;margin-left:0;margin-top:0;width:485.35pt;height:194.1pt;rotation:315;z-index:-251657216;mso-position-horizontal:center;mso-position-horizontal-relative:margin;mso-position-vertical:center;mso-position-vertical-relative:margin" o:allowincell="f" fillcolor="silver" stroked="f">
          <v:fill opacity=".5"/>
          <v:textpath style="font-family:&quot;Arial&quot;;font-size:1pt" string="DRAF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586085"/>
    <w:multiLevelType w:val="hybridMultilevel"/>
    <w:tmpl w:val="3AD8C41A"/>
    <w:lvl w:ilvl="0" w:tplc="04060001">
      <w:start w:val="1"/>
      <w:numFmt w:val="bullet"/>
      <w:lvlText w:val=""/>
      <w:lvlJc w:val="left"/>
      <w:pPr>
        <w:ind w:left="720" w:hanging="360"/>
      </w:pPr>
      <w:rPr>
        <w:rFonts w:ascii="Symbol" w:hAnsi="Symbol" w:hint="default"/>
        <w:color w:val="D2232A"/>
      </w:rPr>
    </w:lvl>
    <w:lvl w:ilvl="1" w:tplc="04060003" w:tentative="1">
      <w:start w:val="1"/>
      <w:numFmt w:val="bullet"/>
      <w:lvlText w:val="o"/>
      <w:lvlJc w:val="left"/>
      <w:pPr>
        <w:ind w:left="1440" w:hanging="360"/>
      </w:pPr>
      <w:rPr>
        <w:rFonts w:ascii="Courier New" w:hAnsi="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
    <w:nsid w:val="04C777C7"/>
    <w:multiLevelType w:val="hybridMultilevel"/>
    <w:tmpl w:val="2ACAD560"/>
    <w:lvl w:ilvl="0" w:tplc="04060001">
      <w:start w:val="1"/>
      <w:numFmt w:val="bullet"/>
      <w:lvlText w:val=""/>
      <w:lvlJc w:val="left"/>
      <w:pPr>
        <w:ind w:left="720" w:hanging="360"/>
      </w:pPr>
      <w:rPr>
        <w:rFonts w:ascii="Symbol" w:hAnsi="Symbol" w:hint="default"/>
        <w:color w:val="D2232A"/>
      </w:rPr>
    </w:lvl>
    <w:lvl w:ilvl="1" w:tplc="04060003" w:tentative="1">
      <w:start w:val="1"/>
      <w:numFmt w:val="bullet"/>
      <w:lvlText w:val="o"/>
      <w:lvlJc w:val="left"/>
      <w:pPr>
        <w:ind w:left="1440" w:hanging="360"/>
      </w:pPr>
      <w:rPr>
        <w:rFonts w:ascii="Courier New" w:hAnsi="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
    <w:nsid w:val="0F112DD8"/>
    <w:multiLevelType w:val="hybridMultilevel"/>
    <w:tmpl w:val="056A0FB0"/>
    <w:lvl w:ilvl="0" w:tplc="0406000F">
      <w:start w:val="1"/>
      <w:numFmt w:val="decimal"/>
      <w:lvlText w:val="%1."/>
      <w:lvlJc w:val="left"/>
      <w:pPr>
        <w:ind w:left="720" w:hanging="360"/>
      </w:pPr>
      <w:rPr>
        <w:rFonts w:cs="Times New Roman"/>
      </w:rPr>
    </w:lvl>
    <w:lvl w:ilvl="1" w:tplc="04060019" w:tentative="1">
      <w:start w:val="1"/>
      <w:numFmt w:val="lowerLetter"/>
      <w:lvlText w:val="%2."/>
      <w:lvlJc w:val="left"/>
      <w:pPr>
        <w:ind w:left="1440" w:hanging="360"/>
      </w:pPr>
      <w:rPr>
        <w:rFonts w:cs="Times New Roman"/>
      </w:rPr>
    </w:lvl>
    <w:lvl w:ilvl="2" w:tplc="0406001B" w:tentative="1">
      <w:start w:val="1"/>
      <w:numFmt w:val="lowerRoman"/>
      <w:lvlText w:val="%3."/>
      <w:lvlJc w:val="right"/>
      <w:pPr>
        <w:ind w:left="2160" w:hanging="180"/>
      </w:pPr>
      <w:rPr>
        <w:rFonts w:cs="Times New Roman"/>
      </w:rPr>
    </w:lvl>
    <w:lvl w:ilvl="3" w:tplc="0406000F" w:tentative="1">
      <w:start w:val="1"/>
      <w:numFmt w:val="decimal"/>
      <w:lvlText w:val="%4."/>
      <w:lvlJc w:val="left"/>
      <w:pPr>
        <w:ind w:left="2880" w:hanging="360"/>
      </w:pPr>
      <w:rPr>
        <w:rFonts w:cs="Times New Roman"/>
      </w:rPr>
    </w:lvl>
    <w:lvl w:ilvl="4" w:tplc="04060019" w:tentative="1">
      <w:start w:val="1"/>
      <w:numFmt w:val="lowerLetter"/>
      <w:lvlText w:val="%5."/>
      <w:lvlJc w:val="left"/>
      <w:pPr>
        <w:ind w:left="3600" w:hanging="360"/>
      </w:pPr>
      <w:rPr>
        <w:rFonts w:cs="Times New Roman"/>
      </w:rPr>
    </w:lvl>
    <w:lvl w:ilvl="5" w:tplc="0406001B" w:tentative="1">
      <w:start w:val="1"/>
      <w:numFmt w:val="lowerRoman"/>
      <w:lvlText w:val="%6."/>
      <w:lvlJc w:val="right"/>
      <w:pPr>
        <w:ind w:left="4320" w:hanging="180"/>
      </w:pPr>
      <w:rPr>
        <w:rFonts w:cs="Times New Roman"/>
      </w:rPr>
    </w:lvl>
    <w:lvl w:ilvl="6" w:tplc="0406000F" w:tentative="1">
      <w:start w:val="1"/>
      <w:numFmt w:val="decimal"/>
      <w:lvlText w:val="%7."/>
      <w:lvlJc w:val="left"/>
      <w:pPr>
        <w:ind w:left="5040" w:hanging="360"/>
      </w:pPr>
      <w:rPr>
        <w:rFonts w:cs="Times New Roman"/>
      </w:rPr>
    </w:lvl>
    <w:lvl w:ilvl="7" w:tplc="04060019" w:tentative="1">
      <w:start w:val="1"/>
      <w:numFmt w:val="lowerLetter"/>
      <w:lvlText w:val="%8."/>
      <w:lvlJc w:val="left"/>
      <w:pPr>
        <w:ind w:left="5760" w:hanging="360"/>
      </w:pPr>
      <w:rPr>
        <w:rFonts w:cs="Times New Roman"/>
      </w:rPr>
    </w:lvl>
    <w:lvl w:ilvl="8" w:tplc="0406001B" w:tentative="1">
      <w:start w:val="1"/>
      <w:numFmt w:val="lowerRoman"/>
      <w:lvlText w:val="%9."/>
      <w:lvlJc w:val="right"/>
      <w:pPr>
        <w:ind w:left="6480" w:hanging="180"/>
      </w:pPr>
      <w:rPr>
        <w:rFonts w:cs="Times New Roman"/>
      </w:rPr>
    </w:lvl>
  </w:abstractNum>
  <w:abstractNum w:abstractNumId="3">
    <w:nsid w:val="0F5A206A"/>
    <w:multiLevelType w:val="hybridMultilevel"/>
    <w:tmpl w:val="531CD222"/>
    <w:lvl w:ilvl="0" w:tplc="04060003">
      <w:start w:val="1"/>
      <w:numFmt w:val="bullet"/>
      <w:lvlText w:val="o"/>
      <w:lvlJc w:val="left"/>
      <w:pPr>
        <w:ind w:left="720" w:hanging="360"/>
      </w:pPr>
      <w:rPr>
        <w:rFonts w:ascii="Courier New" w:hAnsi="Courier New" w:hint="default"/>
        <w:color w:val="D2232A"/>
      </w:rPr>
    </w:lvl>
    <w:lvl w:ilvl="1" w:tplc="04060003" w:tentative="1">
      <w:start w:val="1"/>
      <w:numFmt w:val="bullet"/>
      <w:lvlText w:val="o"/>
      <w:lvlJc w:val="left"/>
      <w:pPr>
        <w:ind w:left="1440" w:hanging="360"/>
      </w:pPr>
      <w:rPr>
        <w:rFonts w:ascii="Courier New" w:hAnsi="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4">
    <w:nsid w:val="10F77D6F"/>
    <w:multiLevelType w:val="hybridMultilevel"/>
    <w:tmpl w:val="9C2A964C"/>
    <w:lvl w:ilvl="0" w:tplc="04060003">
      <w:start w:val="1"/>
      <w:numFmt w:val="bullet"/>
      <w:lvlText w:val="o"/>
      <w:lvlJc w:val="left"/>
      <w:pPr>
        <w:ind w:left="2160" w:hanging="360"/>
      </w:pPr>
      <w:rPr>
        <w:rFonts w:ascii="Courier New" w:hAnsi="Courier New" w:hint="default"/>
        <w:color w:val="D2232A"/>
      </w:rPr>
    </w:lvl>
    <w:lvl w:ilvl="1" w:tplc="04060003" w:tentative="1">
      <w:start w:val="1"/>
      <w:numFmt w:val="bullet"/>
      <w:lvlText w:val="o"/>
      <w:lvlJc w:val="left"/>
      <w:pPr>
        <w:ind w:left="2880" w:hanging="360"/>
      </w:pPr>
      <w:rPr>
        <w:rFonts w:ascii="Courier New" w:hAnsi="Courier New" w:hint="default"/>
      </w:rPr>
    </w:lvl>
    <w:lvl w:ilvl="2" w:tplc="04060005" w:tentative="1">
      <w:start w:val="1"/>
      <w:numFmt w:val="bullet"/>
      <w:lvlText w:val=""/>
      <w:lvlJc w:val="left"/>
      <w:pPr>
        <w:ind w:left="3600" w:hanging="360"/>
      </w:pPr>
      <w:rPr>
        <w:rFonts w:ascii="Wingdings" w:hAnsi="Wingdings" w:hint="default"/>
      </w:rPr>
    </w:lvl>
    <w:lvl w:ilvl="3" w:tplc="04060001" w:tentative="1">
      <w:start w:val="1"/>
      <w:numFmt w:val="bullet"/>
      <w:lvlText w:val=""/>
      <w:lvlJc w:val="left"/>
      <w:pPr>
        <w:ind w:left="4320" w:hanging="360"/>
      </w:pPr>
      <w:rPr>
        <w:rFonts w:ascii="Symbol" w:hAnsi="Symbol" w:hint="default"/>
      </w:rPr>
    </w:lvl>
    <w:lvl w:ilvl="4" w:tplc="04060003" w:tentative="1">
      <w:start w:val="1"/>
      <w:numFmt w:val="bullet"/>
      <w:lvlText w:val="o"/>
      <w:lvlJc w:val="left"/>
      <w:pPr>
        <w:ind w:left="5040" w:hanging="360"/>
      </w:pPr>
      <w:rPr>
        <w:rFonts w:ascii="Courier New" w:hAnsi="Courier New" w:hint="default"/>
      </w:rPr>
    </w:lvl>
    <w:lvl w:ilvl="5" w:tplc="04060005" w:tentative="1">
      <w:start w:val="1"/>
      <w:numFmt w:val="bullet"/>
      <w:lvlText w:val=""/>
      <w:lvlJc w:val="left"/>
      <w:pPr>
        <w:ind w:left="5760" w:hanging="360"/>
      </w:pPr>
      <w:rPr>
        <w:rFonts w:ascii="Wingdings" w:hAnsi="Wingdings" w:hint="default"/>
      </w:rPr>
    </w:lvl>
    <w:lvl w:ilvl="6" w:tplc="04060001" w:tentative="1">
      <w:start w:val="1"/>
      <w:numFmt w:val="bullet"/>
      <w:lvlText w:val=""/>
      <w:lvlJc w:val="left"/>
      <w:pPr>
        <w:ind w:left="6480" w:hanging="360"/>
      </w:pPr>
      <w:rPr>
        <w:rFonts w:ascii="Symbol" w:hAnsi="Symbol" w:hint="default"/>
      </w:rPr>
    </w:lvl>
    <w:lvl w:ilvl="7" w:tplc="04060003" w:tentative="1">
      <w:start w:val="1"/>
      <w:numFmt w:val="bullet"/>
      <w:lvlText w:val="o"/>
      <w:lvlJc w:val="left"/>
      <w:pPr>
        <w:ind w:left="7200" w:hanging="360"/>
      </w:pPr>
      <w:rPr>
        <w:rFonts w:ascii="Courier New" w:hAnsi="Courier New" w:hint="default"/>
      </w:rPr>
    </w:lvl>
    <w:lvl w:ilvl="8" w:tplc="04060005" w:tentative="1">
      <w:start w:val="1"/>
      <w:numFmt w:val="bullet"/>
      <w:lvlText w:val=""/>
      <w:lvlJc w:val="left"/>
      <w:pPr>
        <w:ind w:left="7920" w:hanging="360"/>
      </w:pPr>
      <w:rPr>
        <w:rFonts w:ascii="Wingdings" w:hAnsi="Wingdings" w:hint="default"/>
      </w:rPr>
    </w:lvl>
  </w:abstractNum>
  <w:abstractNum w:abstractNumId="5">
    <w:nsid w:val="178618EF"/>
    <w:multiLevelType w:val="hybridMultilevel"/>
    <w:tmpl w:val="794CFA6E"/>
    <w:lvl w:ilvl="0" w:tplc="04060003">
      <w:start w:val="1"/>
      <w:numFmt w:val="bullet"/>
      <w:lvlText w:val="o"/>
      <w:lvlJc w:val="left"/>
      <w:pPr>
        <w:tabs>
          <w:tab w:val="num" w:pos="720"/>
        </w:tabs>
        <w:ind w:left="720" w:hanging="360"/>
      </w:pPr>
      <w:rPr>
        <w:rFonts w:ascii="Courier New" w:hAnsi="Courier New" w:hint="default"/>
        <w:color w:val="D2232A"/>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6">
    <w:nsid w:val="18791BA5"/>
    <w:multiLevelType w:val="hybridMultilevel"/>
    <w:tmpl w:val="6FEC18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1D795BE4"/>
    <w:multiLevelType w:val="hybridMultilevel"/>
    <w:tmpl w:val="F84407CE"/>
    <w:lvl w:ilvl="0" w:tplc="04060001">
      <w:start w:val="1"/>
      <w:numFmt w:val="bullet"/>
      <w:lvlText w:val=""/>
      <w:lvlJc w:val="left"/>
      <w:pPr>
        <w:ind w:left="720" w:hanging="360"/>
      </w:pPr>
      <w:rPr>
        <w:rFonts w:ascii="Symbol" w:hAnsi="Symbol" w:hint="default"/>
        <w:color w:val="D2232A"/>
      </w:rPr>
    </w:lvl>
    <w:lvl w:ilvl="1" w:tplc="04060003" w:tentative="1">
      <w:start w:val="1"/>
      <w:numFmt w:val="bullet"/>
      <w:lvlText w:val="o"/>
      <w:lvlJc w:val="left"/>
      <w:pPr>
        <w:ind w:left="1440" w:hanging="360"/>
      </w:pPr>
      <w:rPr>
        <w:rFonts w:ascii="Courier New" w:hAnsi="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8">
    <w:nsid w:val="1EA30B68"/>
    <w:multiLevelType w:val="hybridMultilevel"/>
    <w:tmpl w:val="9CEC7DF4"/>
    <w:lvl w:ilvl="0" w:tplc="04090001">
      <w:start w:val="1"/>
      <w:numFmt w:val="bullet"/>
      <w:lvlText w:val=""/>
      <w:lvlJc w:val="left"/>
      <w:pPr>
        <w:ind w:left="883" w:hanging="360"/>
      </w:pPr>
      <w:rPr>
        <w:rFonts w:ascii="Symbol" w:hAnsi="Symbol" w:hint="default"/>
      </w:rPr>
    </w:lvl>
    <w:lvl w:ilvl="1" w:tplc="04090003" w:tentative="1">
      <w:start w:val="1"/>
      <w:numFmt w:val="bullet"/>
      <w:lvlText w:val="o"/>
      <w:lvlJc w:val="left"/>
      <w:pPr>
        <w:ind w:left="1603" w:hanging="360"/>
      </w:pPr>
      <w:rPr>
        <w:rFonts w:ascii="Courier New" w:hAnsi="Courier New" w:hint="default"/>
      </w:rPr>
    </w:lvl>
    <w:lvl w:ilvl="2" w:tplc="04090005" w:tentative="1">
      <w:start w:val="1"/>
      <w:numFmt w:val="bullet"/>
      <w:lvlText w:val=""/>
      <w:lvlJc w:val="left"/>
      <w:pPr>
        <w:ind w:left="2323" w:hanging="360"/>
      </w:pPr>
      <w:rPr>
        <w:rFonts w:ascii="Wingdings" w:hAnsi="Wingdings" w:hint="default"/>
      </w:rPr>
    </w:lvl>
    <w:lvl w:ilvl="3" w:tplc="04090001" w:tentative="1">
      <w:start w:val="1"/>
      <w:numFmt w:val="bullet"/>
      <w:lvlText w:val=""/>
      <w:lvlJc w:val="left"/>
      <w:pPr>
        <w:ind w:left="3043" w:hanging="360"/>
      </w:pPr>
      <w:rPr>
        <w:rFonts w:ascii="Symbol" w:hAnsi="Symbol" w:hint="default"/>
      </w:rPr>
    </w:lvl>
    <w:lvl w:ilvl="4" w:tplc="04090003" w:tentative="1">
      <w:start w:val="1"/>
      <w:numFmt w:val="bullet"/>
      <w:lvlText w:val="o"/>
      <w:lvlJc w:val="left"/>
      <w:pPr>
        <w:ind w:left="3763" w:hanging="360"/>
      </w:pPr>
      <w:rPr>
        <w:rFonts w:ascii="Courier New" w:hAnsi="Courier New" w:hint="default"/>
      </w:rPr>
    </w:lvl>
    <w:lvl w:ilvl="5" w:tplc="04090005" w:tentative="1">
      <w:start w:val="1"/>
      <w:numFmt w:val="bullet"/>
      <w:lvlText w:val=""/>
      <w:lvlJc w:val="left"/>
      <w:pPr>
        <w:ind w:left="4483" w:hanging="360"/>
      </w:pPr>
      <w:rPr>
        <w:rFonts w:ascii="Wingdings" w:hAnsi="Wingdings" w:hint="default"/>
      </w:rPr>
    </w:lvl>
    <w:lvl w:ilvl="6" w:tplc="04090001" w:tentative="1">
      <w:start w:val="1"/>
      <w:numFmt w:val="bullet"/>
      <w:lvlText w:val=""/>
      <w:lvlJc w:val="left"/>
      <w:pPr>
        <w:ind w:left="5203" w:hanging="360"/>
      </w:pPr>
      <w:rPr>
        <w:rFonts w:ascii="Symbol" w:hAnsi="Symbol" w:hint="default"/>
      </w:rPr>
    </w:lvl>
    <w:lvl w:ilvl="7" w:tplc="04090003" w:tentative="1">
      <w:start w:val="1"/>
      <w:numFmt w:val="bullet"/>
      <w:lvlText w:val="o"/>
      <w:lvlJc w:val="left"/>
      <w:pPr>
        <w:ind w:left="5923" w:hanging="360"/>
      </w:pPr>
      <w:rPr>
        <w:rFonts w:ascii="Courier New" w:hAnsi="Courier New" w:hint="default"/>
      </w:rPr>
    </w:lvl>
    <w:lvl w:ilvl="8" w:tplc="04090005" w:tentative="1">
      <w:start w:val="1"/>
      <w:numFmt w:val="bullet"/>
      <w:lvlText w:val=""/>
      <w:lvlJc w:val="left"/>
      <w:pPr>
        <w:ind w:left="6643" w:hanging="360"/>
      </w:pPr>
      <w:rPr>
        <w:rFonts w:ascii="Wingdings" w:hAnsi="Wingdings" w:hint="default"/>
      </w:rPr>
    </w:lvl>
  </w:abstractNum>
  <w:abstractNum w:abstractNumId="9">
    <w:nsid w:val="20A87A02"/>
    <w:multiLevelType w:val="hybridMultilevel"/>
    <w:tmpl w:val="70E0AC98"/>
    <w:lvl w:ilvl="0" w:tplc="04060001">
      <w:start w:val="1"/>
      <w:numFmt w:val="bullet"/>
      <w:lvlText w:val=""/>
      <w:lvlJc w:val="left"/>
      <w:pPr>
        <w:tabs>
          <w:tab w:val="num" w:pos="360"/>
        </w:tabs>
        <w:ind w:left="360" w:hanging="360"/>
      </w:pPr>
      <w:rPr>
        <w:rFonts w:ascii="Symbol" w:hAnsi="Symbol" w:hint="default"/>
        <w:color w:val="D2232A"/>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212F4188"/>
    <w:multiLevelType w:val="multilevel"/>
    <w:tmpl w:val="FF0640BA"/>
    <w:lvl w:ilvl="0">
      <w:start w:val="1"/>
      <w:numFmt w:val="decimal"/>
      <w:pStyle w:val="ECCAnnex-heading1"/>
      <w:suff w:val="space"/>
      <w:lvlText w:val="ANNEX %1:"/>
      <w:lvlJc w:val="left"/>
      <w:rPr>
        <w:rFonts w:ascii="Arial" w:hAnsi="Arial" w:cs="Times New Roman" w:hint="default"/>
        <w:b/>
        <w:bCs w:val="0"/>
        <w:i w:val="0"/>
        <w:iCs w:val="0"/>
        <w:smallCaps w:val="0"/>
        <w:strike w:val="0"/>
        <w:dstrike w:val="0"/>
        <w:vanish w:val="0"/>
        <w:color w:val="D2232A"/>
        <w:spacing w:val="0"/>
        <w:position w:val="0"/>
        <w:sz w:val="20"/>
        <w:u w:val="none"/>
        <w:vertAlign w:val="baseline"/>
      </w:rPr>
    </w:lvl>
    <w:lvl w:ilvl="1">
      <w:start w:val="1"/>
      <w:numFmt w:val="decimal"/>
      <w:pStyle w:val="ECCAnnexheading2"/>
      <w:suff w:val="space"/>
      <w:lvlText w:val="A.%1.%2"/>
      <w:lvlJc w:val="left"/>
      <w:pPr>
        <w:ind w:left="576" w:hanging="576"/>
      </w:pPr>
      <w:rPr>
        <w:rFonts w:cs="Times New Roman" w:hint="default"/>
      </w:rPr>
    </w:lvl>
    <w:lvl w:ilvl="2">
      <w:start w:val="1"/>
      <w:numFmt w:val="decimal"/>
      <w:pStyle w:val="ECCAnnexheading3"/>
      <w:lvlText w:val="A.%1.%2.%3"/>
      <w:lvlJc w:val="left"/>
      <w:pPr>
        <w:tabs>
          <w:tab w:val="num" w:pos="720"/>
        </w:tabs>
        <w:ind w:left="720" w:hanging="720"/>
      </w:pPr>
      <w:rPr>
        <w:rFonts w:cs="Times New Roman" w:hint="default"/>
      </w:rPr>
    </w:lvl>
    <w:lvl w:ilvl="3">
      <w:start w:val="1"/>
      <w:numFmt w:val="decimal"/>
      <w:pStyle w:val="ECCAnnexheading4"/>
      <w:lvlText w:val="A.%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1">
    <w:nsid w:val="214344EC"/>
    <w:multiLevelType w:val="hybridMultilevel"/>
    <w:tmpl w:val="AF28322E"/>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2">
    <w:nsid w:val="25336082"/>
    <w:multiLevelType w:val="multilevel"/>
    <w:tmpl w:val="ABEADAAA"/>
    <w:lvl w:ilvl="0">
      <w:start w:val="1"/>
      <w:numFmt w:val="decimal"/>
      <w:lvlText w:val="%1."/>
      <w:lvlJc w:val="left"/>
      <w:pPr>
        <w:ind w:left="360" w:hanging="360"/>
      </w:pPr>
      <w:rPr>
        <w:rFonts w:cs="Times New Roman" w:hint="default"/>
      </w:rPr>
    </w:lvl>
    <w:lvl w:ilvl="1">
      <w:start w:val="1"/>
      <w:numFmt w:val="decimal"/>
      <w:lvlText w:val="%1.%2."/>
      <w:lvlJc w:val="left"/>
      <w:pPr>
        <w:ind w:left="792" w:hanging="432"/>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13">
    <w:nsid w:val="2D887D29"/>
    <w:multiLevelType w:val="hybridMultilevel"/>
    <w:tmpl w:val="AE3E04CA"/>
    <w:lvl w:ilvl="0" w:tplc="0406000F">
      <w:start w:val="1"/>
      <w:numFmt w:val="decimal"/>
      <w:lvlText w:val="%1."/>
      <w:lvlJc w:val="left"/>
      <w:pPr>
        <w:ind w:left="720" w:hanging="360"/>
      </w:pPr>
      <w:rPr>
        <w:rFonts w:cs="Times New Roman"/>
      </w:rPr>
    </w:lvl>
    <w:lvl w:ilvl="1" w:tplc="04060019" w:tentative="1">
      <w:start w:val="1"/>
      <w:numFmt w:val="lowerLetter"/>
      <w:lvlText w:val="%2."/>
      <w:lvlJc w:val="left"/>
      <w:pPr>
        <w:ind w:left="1440" w:hanging="360"/>
      </w:pPr>
      <w:rPr>
        <w:rFonts w:cs="Times New Roman"/>
      </w:rPr>
    </w:lvl>
    <w:lvl w:ilvl="2" w:tplc="0406001B" w:tentative="1">
      <w:start w:val="1"/>
      <w:numFmt w:val="lowerRoman"/>
      <w:lvlText w:val="%3."/>
      <w:lvlJc w:val="right"/>
      <w:pPr>
        <w:ind w:left="2160" w:hanging="180"/>
      </w:pPr>
      <w:rPr>
        <w:rFonts w:cs="Times New Roman"/>
      </w:rPr>
    </w:lvl>
    <w:lvl w:ilvl="3" w:tplc="0406000F" w:tentative="1">
      <w:start w:val="1"/>
      <w:numFmt w:val="decimal"/>
      <w:lvlText w:val="%4."/>
      <w:lvlJc w:val="left"/>
      <w:pPr>
        <w:ind w:left="2880" w:hanging="360"/>
      </w:pPr>
      <w:rPr>
        <w:rFonts w:cs="Times New Roman"/>
      </w:rPr>
    </w:lvl>
    <w:lvl w:ilvl="4" w:tplc="04060019" w:tentative="1">
      <w:start w:val="1"/>
      <w:numFmt w:val="lowerLetter"/>
      <w:lvlText w:val="%5."/>
      <w:lvlJc w:val="left"/>
      <w:pPr>
        <w:ind w:left="3600" w:hanging="360"/>
      </w:pPr>
      <w:rPr>
        <w:rFonts w:cs="Times New Roman"/>
      </w:rPr>
    </w:lvl>
    <w:lvl w:ilvl="5" w:tplc="0406001B" w:tentative="1">
      <w:start w:val="1"/>
      <w:numFmt w:val="lowerRoman"/>
      <w:lvlText w:val="%6."/>
      <w:lvlJc w:val="right"/>
      <w:pPr>
        <w:ind w:left="4320" w:hanging="180"/>
      </w:pPr>
      <w:rPr>
        <w:rFonts w:cs="Times New Roman"/>
      </w:rPr>
    </w:lvl>
    <w:lvl w:ilvl="6" w:tplc="0406000F" w:tentative="1">
      <w:start w:val="1"/>
      <w:numFmt w:val="decimal"/>
      <w:lvlText w:val="%7."/>
      <w:lvlJc w:val="left"/>
      <w:pPr>
        <w:ind w:left="5040" w:hanging="360"/>
      </w:pPr>
      <w:rPr>
        <w:rFonts w:cs="Times New Roman"/>
      </w:rPr>
    </w:lvl>
    <w:lvl w:ilvl="7" w:tplc="04060019" w:tentative="1">
      <w:start w:val="1"/>
      <w:numFmt w:val="lowerLetter"/>
      <w:lvlText w:val="%8."/>
      <w:lvlJc w:val="left"/>
      <w:pPr>
        <w:ind w:left="5760" w:hanging="360"/>
      </w:pPr>
      <w:rPr>
        <w:rFonts w:cs="Times New Roman"/>
      </w:rPr>
    </w:lvl>
    <w:lvl w:ilvl="8" w:tplc="0406001B" w:tentative="1">
      <w:start w:val="1"/>
      <w:numFmt w:val="lowerRoman"/>
      <w:lvlText w:val="%9."/>
      <w:lvlJc w:val="right"/>
      <w:pPr>
        <w:ind w:left="6480" w:hanging="180"/>
      </w:pPr>
      <w:rPr>
        <w:rFonts w:cs="Times New Roman"/>
      </w:rPr>
    </w:lvl>
  </w:abstractNum>
  <w:abstractNum w:abstractNumId="14">
    <w:nsid w:val="2FAB5DE2"/>
    <w:multiLevelType w:val="hybridMultilevel"/>
    <w:tmpl w:val="A2FACE3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nsid w:val="30031823"/>
    <w:multiLevelType w:val="multilevel"/>
    <w:tmpl w:val="ABEADAAA"/>
    <w:lvl w:ilvl="0">
      <w:start w:val="1"/>
      <w:numFmt w:val="decimal"/>
      <w:lvlText w:val="%1."/>
      <w:lvlJc w:val="left"/>
      <w:pPr>
        <w:ind w:left="360" w:hanging="360"/>
      </w:pPr>
      <w:rPr>
        <w:rFonts w:cs="Times New Roman" w:hint="default"/>
      </w:rPr>
    </w:lvl>
    <w:lvl w:ilvl="1">
      <w:start w:val="1"/>
      <w:numFmt w:val="decimal"/>
      <w:lvlText w:val="%1.%2."/>
      <w:lvlJc w:val="left"/>
      <w:pPr>
        <w:ind w:left="792" w:hanging="432"/>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16">
    <w:nsid w:val="32826393"/>
    <w:multiLevelType w:val="hybridMultilevel"/>
    <w:tmpl w:val="727A0C06"/>
    <w:lvl w:ilvl="0" w:tplc="0406000F">
      <w:start w:val="1"/>
      <w:numFmt w:val="decimal"/>
      <w:lvlText w:val="%1."/>
      <w:lvlJc w:val="left"/>
      <w:pPr>
        <w:ind w:left="720" w:hanging="360"/>
      </w:pPr>
      <w:rPr>
        <w:rFonts w:cs="Times New Roman"/>
      </w:rPr>
    </w:lvl>
    <w:lvl w:ilvl="1" w:tplc="04060019" w:tentative="1">
      <w:start w:val="1"/>
      <w:numFmt w:val="lowerLetter"/>
      <w:lvlText w:val="%2."/>
      <w:lvlJc w:val="left"/>
      <w:pPr>
        <w:ind w:left="1440" w:hanging="360"/>
      </w:pPr>
      <w:rPr>
        <w:rFonts w:cs="Times New Roman"/>
      </w:rPr>
    </w:lvl>
    <w:lvl w:ilvl="2" w:tplc="0406001B" w:tentative="1">
      <w:start w:val="1"/>
      <w:numFmt w:val="lowerRoman"/>
      <w:lvlText w:val="%3."/>
      <w:lvlJc w:val="right"/>
      <w:pPr>
        <w:ind w:left="2160" w:hanging="180"/>
      </w:pPr>
      <w:rPr>
        <w:rFonts w:cs="Times New Roman"/>
      </w:rPr>
    </w:lvl>
    <w:lvl w:ilvl="3" w:tplc="0406000F" w:tentative="1">
      <w:start w:val="1"/>
      <w:numFmt w:val="decimal"/>
      <w:lvlText w:val="%4."/>
      <w:lvlJc w:val="left"/>
      <w:pPr>
        <w:ind w:left="2880" w:hanging="360"/>
      </w:pPr>
      <w:rPr>
        <w:rFonts w:cs="Times New Roman"/>
      </w:rPr>
    </w:lvl>
    <w:lvl w:ilvl="4" w:tplc="04060019" w:tentative="1">
      <w:start w:val="1"/>
      <w:numFmt w:val="lowerLetter"/>
      <w:lvlText w:val="%5."/>
      <w:lvlJc w:val="left"/>
      <w:pPr>
        <w:ind w:left="3600" w:hanging="360"/>
      </w:pPr>
      <w:rPr>
        <w:rFonts w:cs="Times New Roman"/>
      </w:rPr>
    </w:lvl>
    <w:lvl w:ilvl="5" w:tplc="0406001B" w:tentative="1">
      <w:start w:val="1"/>
      <w:numFmt w:val="lowerRoman"/>
      <w:lvlText w:val="%6."/>
      <w:lvlJc w:val="right"/>
      <w:pPr>
        <w:ind w:left="4320" w:hanging="180"/>
      </w:pPr>
      <w:rPr>
        <w:rFonts w:cs="Times New Roman"/>
      </w:rPr>
    </w:lvl>
    <w:lvl w:ilvl="6" w:tplc="0406000F" w:tentative="1">
      <w:start w:val="1"/>
      <w:numFmt w:val="decimal"/>
      <w:lvlText w:val="%7."/>
      <w:lvlJc w:val="left"/>
      <w:pPr>
        <w:ind w:left="5040" w:hanging="360"/>
      </w:pPr>
      <w:rPr>
        <w:rFonts w:cs="Times New Roman"/>
      </w:rPr>
    </w:lvl>
    <w:lvl w:ilvl="7" w:tplc="04060019" w:tentative="1">
      <w:start w:val="1"/>
      <w:numFmt w:val="lowerLetter"/>
      <w:lvlText w:val="%8."/>
      <w:lvlJc w:val="left"/>
      <w:pPr>
        <w:ind w:left="5760" w:hanging="360"/>
      </w:pPr>
      <w:rPr>
        <w:rFonts w:cs="Times New Roman"/>
      </w:rPr>
    </w:lvl>
    <w:lvl w:ilvl="8" w:tplc="0406001B" w:tentative="1">
      <w:start w:val="1"/>
      <w:numFmt w:val="lowerRoman"/>
      <w:lvlText w:val="%9."/>
      <w:lvlJc w:val="right"/>
      <w:pPr>
        <w:ind w:left="6480" w:hanging="180"/>
      </w:pPr>
      <w:rPr>
        <w:rFonts w:cs="Times New Roman"/>
      </w:rPr>
    </w:lvl>
  </w:abstractNum>
  <w:abstractNum w:abstractNumId="17">
    <w:nsid w:val="33EA66CA"/>
    <w:multiLevelType w:val="hybridMultilevel"/>
    <w:tmpl w:val="DE7AA320"/>
    <w:lvl w:ilvl="0" w:tplc="F6E0A874">
      <w:numFmt w:val="bullet"/>
      <w:lvlText w:val="-"/>
      <w:lvlJc w:val="left"/>
      <w:pPr>
        <w:ind w:left="1080" w:hanging="720"/>
      </w:pPr>
      <w:rPr>
        <w:rFonts w:ascii="Arial" w:eastAsia="Times New Roman"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551272E"/>
    <w:multiLevelType w:val="hybridMultilevel"/>
    <w:tmpl w:val="9030197C"/>
    <w:lvl w:ilvl="0" w:tplc="04060001">
      <w:start w:val="1"/>
      <w:numFmt w:val="bullet"/>
      <w:lvlText w:val=""/>
      <w:lvlJc w:val="left"/>
      <w:pPr>
        <w:tabs>
          <w:tab w:val="num" w:pos="360"/>
        </w:tabs>
        <w:ind w:left="360" w:hanging="360"/>
      </w:pPr>
      <w:rPr>
        <w:rFonts w:ascii="Symbol" w:hAnsi="Symbol" w:hint="default"/>
        <w:color w:val="D2232A"/>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3D163F7A"/>
    <w:multiLevelType w:val="multilevel"/>
    <w:tmpl w:val="9F4A7B42"/>
    <w:lvl w:ilvl="0">
      <w:numFmt w:val="decimal"/>
      <w:lvlText w:val="%1"/>
      <w:lvlJc w:val="left"/>
      <w:pPr>
        <w:tabs>
          <w:tab w:val="num" w:pos="432"/>
        </w:tabs>
        <w:ind w:left="432" w:hanging="432"/>
      </w:pPr>
      <w:rPr>
        <w:rFonts w:ascii="Arial" w:hAnsi="Arial" w:cs="Times New Roman" w:hint="default"/>
        <w:b/>
        <w:i w:val="0"/>
        <w:color w:val="D2232A"/>
        <w:sz w:val="20"/>
        <w:szCs w:val="20"/>
      </w:rPr>
    </w:lvl>
    <w:lvl w:ilvl="1">
      <w:start w:val="1"/>
      <w:numFmt w:val="decimal"/>
      <w:lvlText w:val="%1.%2"/>
      <w:lvlJc w:val="left"/>
      <w:pPr>
        <w:tabs>
          <w:tab w:val="num" w:pos="576"/>
        </w:tabs>
        <w:ind w:left="576" w:hanging="576"/>
      </w:pPr>
      <w:rPr>
        <w:rFonts w:ascii="Arial" w:hAnsi="Arial" w:cs="Times New Roman" w:hint="default"/>
        <w:b/>
        <w:i w:val="0"/>
        <w:sz w:val="20"/>
      </w:rPr>
    </w:lvl>
    <w:lvl w:ilvl="2">
      <w:start w:val="1"/>
      <w:numFmt w:val="decimal"/>
      <w:lvlText w:val="%1.%2.%3"/>
      <w:lvlJc w:val="left"/>
      <w:pPr>
        <w:tabs>
          <w:tab w:val="num" w:pos="1146"/>
        </w:tabs>
        <w:ind w:left="1146" w:hanging="720"/>
      </w:pPr>
      <w:rPr>
        <w:rFonts w:ascii="Arial" w:hAnsi="Arial" w:cs="Times New Roman" w:hint="default"/>
        <w:b/>
        <w:i w:val="0"/>
        <w:caps w:val="0"/>
        <w:sz w:val="20"/>
        <w:szCs w:val="20"/>
      </w:rPr>
    </w:lvl>
    <w:lvl w:ilvl="3">
      <w:start w:val="1"/>
      <w:numFmt w:val="decimal"/>
      <w:lvlText w:val="%1.%2.%3.%4"/>
      <w:lvlJc w:val="left"/>
      <w:pPr>
        <w:tabs>
          <w:tab w:val="num" w:pos="864"/>
        </w:tabs>
        <w:ind w:left="864" w:hanging="864"/>
      </w:pPr>
      <w:rPr>
        <w:rFonts w:ascii="Arial" w:hAnsi="Arial" w:cs="Times New Roman" w:hint="default"/>
        <w:b w:val="0"/>
        <w:i/>
        <w:sz w:val="20"/>
      </w:rPr>
    </w:lvl>
    <w:lvl w:ilvl="4">
      <w:start w:val="1"/>
      <w:numFmt w:val="decimal"/>
      <w:lvlText w:val="%1.%2.%3.%4.%5"/>
      <w:lvlJc w:val="left"/>
      <w:pPr>
        <w:tabs>
          <w:tab w:val="num" w:pos="1008"/>
        </w:tabs>
        <w:ind w:left="1008" w:hanging="1008"/>
      </w:pPr>
      <w:rPr>
        <w:rFonts w:cs="Times New Roman" w:hint="default"/>
        <w:sz w:val="24"/>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0">
    <w:nsid w:val="40025DD7"/>
    <w:multiLevelType w:val="hybridMultilevel"/>
    <w:tmpl w:val="8286C1A2"/>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1">
    <w:nsid w:val="422D020E"/>
    <w:multiLevelType w:val="hybridMultilevel"/>
    <w:tmpl w:val="1CFEA1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6E6242A"/>
    <w:multiLevelType w:val="hybridMultilevel"/>
    <w:tmpl w:val="9146C086"/>
    <w:lvl w:ilvl="0" w:tplc="5D1C976A">
      <w:start w:val="1"/>
      <w:numFmt w:val="decimal"/>
      <w:pStyle w:val="reference"/>
      <w:lvlText w:val="[%1]"/>
      <w:lvlJc w:val="left"/>
      <w:pPr>
        <w:tabs>
          <w:tab w:val="num" w:pos="397"/>
        </w:tabs>
        <w:ind w:left="397" w:hanging="397"/>
      </w:pPr>
      <w:rPr>
        <w:rFonts w:ascii="Arial" w:hAnsi="Arial" w:cs="Times New Roman" w:hint="default"/>
        <w:b w:val="0"/>
        <w:i w:val="0"/>
        <w:color w:val="D2232A"/>
        <w:sz w:val="18"/>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3">
    <w:nsid w:val="47B11F1E"/>
    <w:multiLevelType w:val="multilevel"/>
    <w:tmpl w:val="C27CB7AE"/>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4">
    <w:nsid w:val="499B11C1"/>
    <w:multiLevelType w:val="multilevel"/>
    <w:tmpl w:val="CF28CB36"/>
    <w:lvl w:ilvl="0">
      <w:start w:val="1"/>
      <w:numFmt w:val="decimal"/>
      <w:pStyle w:val="ECCFiguretitle"/>
      <w:suff w:val="space"/>
      <w:lvlText w:val="Figure %1:"/>
      <w:lvlJc w:val="left"/>
      <w:pPr>
        <w:ind w:left="360" w:hanging="360"/>
      </w:pPr>
      <w:rPr>
        <w:rFonts w:ascii="Arial" w:hAnsi="Arial" w:cs="Times New Roman" w:hint="default"/>
        <w:b/>
        <w:i w:val="0"/>
        <w:color w:val="D2232A"/>
        <w:sz w:val="20"/>
      </w:rPr>
    </w:lvl>
    <w:lvl w:ilvl="1">
      <w:start w:val="1"/>
      <w:numFmt w:val="lowerLetter"/>
      <w:lvlText w:val="%2)"/>
      <w:lvlJc w:val="left"/>
      <w:pPr>
        <w:tabs>
          <w:tab w:val="num" w:pos="720"/>
        </w:tabs>
        <w:ind w:left="720" w:hanging="360"/>
      </w:pPr>
      <w:rPr>
        <w:rFonts w:cs="Times New Roman" w:hint="default"/>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5">
    <w:nsid w:val="4CEA7C86"/>
    <w:multiLevelType w:val="multilevel"/>
    <w:tmpl w:val="AF28322E"/>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6">
    <w:nsid w:val="4E9D3306"/>
    <w:multiLevelType w:val="hybridMultilevel"/>
    <w:tmpl w:val="4092A108"/>
    <w:lvl w:ilvl="0" w:tplc="04060001">
      <w:start w:val="1"/>
      <w:numFmt w:val="bullet"/>
      <w:lvlText w:val=""/>
      <w:lvlJc w:val="left"/>
      <w:pPr>
        <w:ind w:left="1440" w:hanging="360"/>
      </w:pPr>
      <w:rPr>
        <w:rFonts w:ascii="Symbol" w:hAnsi="Symbol" w:hint="default"/>
        <w:color w:val="D2232A"/>
      </w:rPr>
    </w:lvl>
    <w:lvl w:ilvl="1" w:tplc="04060003" w:tentative="1">
      <w:start w:val="1"/>
      <w:numFmt w:val="bullet"/>
      <w:lvlText w:val="o"/>
      <w:lvlJc w:val="left"/>
      <w:pPr>
        <w:ind w:left="2160" w:hanging="360"/>
      </w:pPr>
      <w:rPr>
        <w:rFonts w:ascii="Courier New" w:hAnsi="Courier New" w:hint="default"/>
      </w:rPr>
    </w:lvl>
    <w:lvl w:ilvl="2" w:tplc="04060005" w:tentative="1">
      <w:start w:val="1"/>
      <w:numFmt w:val="bullet"/>
      <w:lvlText w:val=""/>
      <w:lvlJc w:val="left"/>
      <w:pPr>
        <w:ind w:left="2880" w:hanging="360"/>
      </w:pPr>
      <w:rPr>
        <w:rFonts w:ascii="Wingdings" w:hAnsi="Wingdings" w:hint="default"/>
      </w:rPr>
    </w:lvl>
    <w:lvl w:ilvl="3" w:tplc="04060001" w:tentative="1">
      <w:start w:val="1"/>
      <w:numFmt w:val="bullet"/>
      <w:lvlText w:val=""/>
      <w:lvlJc w:val="left"/>
      <w:pPr>
        <w:ind w:left="3600" w:hanging="360"/>
      </w:pPr>
      <w:rPr>
        <w:rFonts w:ascii="Symbol" w:hAnsi="Symbol" w:hint="default"/>
      </w:rPr>
    </w:lvl>
    <w:lvl w:ilvl="4" w:tplc="04060003" w:tentative="1">
      <w:start w:val="1"/>
      <w:numFmt w:val="bullet"/>
      <w:lvlText w:val="o"/>
      <w:lvlJc w:val="left"/>
      <w:pPr>
        <w:ind w:left="4320" w:hanging="360"/>
      </w:pPr>
      <w:rPr>
        <w:rFonts w:ascii="Courier New" w:hAnsi="Courier New" w:hint="default"/>
      </w:rPr>
    </w:lvl>
    <w:lvl w:ilvl="5" w:tplc="04060005" w:tentative="1">
      <w:start w:val="1"/>
      <w:numFmt w:val="bullet"/>
      <w:lvlText w:val=""/>
      <w:lvlJc w:val="left"/>
      <w:pPr>
        <w:ind w:left="5040" w:hanging="360"/>
      </w:pPr>
      <w:rPr>
        <w:rFonts w:ascii="Wingdings" w:hAnsi="Wingdings" w:hint="default"/>
      </w:rPr>
    </w:lvl>
    <w:lvl w:ilvl="6" w:tplc="04060001" w:tentative="1">
      <w:start w:val="1"/>
      <w:numFmt w:val="bullet"/>
      <w:lvlText w:val=""/>
      <w:lvlJc w:val="left"/>
      <w:pPr>
        <w:ind w:left="5760" w:hanging="360"/>
      </w:pPr>
      <w:rPr>
        <w:rFonts w:ascii="Symbol" w:hAnsi="Symbol" w:hint="default"/>
      </w:rPr>
    </w:lvl>
    <w:lvl w:ilvl="7" w:tplc="04060003" w:tentative="1">
      <w:start w:val="1"/>
      <w:numFmt w:val="bullet"/>
      <w:lvlText w:val="o"/>
      <w:lvlJc w:val="left"/>
      <w:pPr>
        <w:ind w:left="6480" w:hanging="360"/>
      </w:pPr>
      <w:rPr>
        <w:rFonts w:ascii="Courier New" w:hAnsi="Courier New" w:hint="default"/>
      </w:rPr>
    </w:lvl>
    <w:lvl w:ilvl="8" w:tplc="04060005" w:tentative="1">
      <w:start w:val="1"/>
      <w:numFmt w:val="bullet"/>
      <w:lvlText w:val=""/>
      <w:lvlJc w:val="left"/>
      <w:pPr>
        <w:ind w:left="7200" w:hanging="360"/>
      </w:pPr>
      <w:rPr>
        <w:rFonts w:ascii="Wingdings" w:hAnsi="Wingdings" w:hint="default"/>
      </w:rPr>
    </w:lvl>
  </w:abstractNum>
  <w:abstractNum w:abstractNumId="27">
    <w:nsid w:val="50325B79"/>
    <w:multiLevelType w:val="hybridMultilevel"/>
    <w:tmpl w:val="1AF23D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39E19AC"/>
    <w:multiLevelType w:val="hybridMultilevel"/>
    <w:tmpl w:val="2A56AD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nsid w:val="580A3ADC"/>
    <w:multiLevelType w:val="hybridMultilevel"/>
    <w:tmpl w:val="7ACEBF4C"/>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B5B06D4"/>
    <w:multiLevelType w:val="multilevel"/>
    <w:tmpl w:val="03AC407E"/>
    <w:lvl w:ilvl="0">
      <w:start w:val="1"/>
      <w:numFmt w:val="decimal"/>
      <w:lvlText w:val="%1."/>
      <w:lvlJc w:val="left"/>
      <w:pPr>
        <w:ind w:left="1080" w:hanging="360"/>
      </w:pPr>
      <w:rPr>
        <w:rFonts w:cs="Times New Roman"/>
      </w:rPr>
    </w:lvl>
    <w:lvl w:ilvl="1">
      <w:start w:val="1"/>
      <w:numFmt w:val="lowerLetter"/>
      <w:lvlText w:val="%2."/>
      <w:lvlJc w:val="left"/>
      <w:pPr>
        <w:ind w:left="1800" w:hanging="360"/>
      </w:pPr>
      <w:rPr>
        <w:rFonts w:cs="Times New Roman"/>
      </w:rPr>
    </w:lvl>
    <w:lvl w:ilvl="2">
      <w:start w:val="1"/>
      <w:numFmt w:val="lowerRoman"/>
      <w:lvlText w:val="%3."/>
      <w:lvlJc w:val="right"/>
      <w:pPr>
        <w:ind w:left="2520" w:hanging="180"/>
      </w:pPr>
      <w:rPr>
        <w:rFonts w:cs="Times New Roman"/>
      </w:rPr>
    </w:lvl>
    <w:lvl w:ilvl="3">
      <w:start w:val="1"/>
      <w:numFmt w:val="decimal"/>
      <w:lvlText w:val="%4."/>
      <w:lvlJc w:val="left"/>
      <w:pPr>
        <w:ind w:left="3240" w:hanging="360"/>
      </w:pPr>
      <w:rPr>
        <w:rFonts w:cs="Times New Roman"/>
      </w:rPr>
    </w:lvl>
    <w:lvl w:ilvl="4">
      <w:start w:val="1"/>
      <w:numFmt w:val="lowerLetter"/>
      <w:lvlText w:val="%5."/>
      <w:lvlJc w:val="left"/>
      <w:pPr>
        <w:ind w:left="3960" w:hanging="360"/>
      </w:pPr>
      <w:rPr>
        <w:rFonts w:cs="Times New Roman"/>
      </w:rPr>
    </w:lvl>
    <w:lvl w:ilvl="5">
      <w:start w:val="1"/>
      <w:numFmt w:val="lowerRoman"/>
      <w:lvlText w:val="%6."/>
      <w:lvlJc w:val="right"/>
      <w:pPr>
        <w:ind w:left="4680" w:hanging="180"/>
      </w:pPr>
      <w:rPr>
        <w:rFonts w:cs="Times New Roman"/>
      </w:rPr>
    </w:lvl>
    <w:lvl w:ilvl="6">
      <w:start w:val="1"/>
      <w:numFmt w:val="decimal"/>
      <w:lvlText w:val="%7."/>
      <w:lvlJc w:val="left"/>
      <w:pPr>
        <w:ind w:left="5400" w:hanging="360"/>
      </w:pPr>
      <w:rPr>
        <w:rFonts w:cs="Times New Roman"/>
      </w:rPr>
    </w:lvl>
    <w:lvl w:ilvl="7">
      <w:start w:val="1"/>
      <w:numFmt w:val="lowerLetter"/>
      <w:lvlText w:val="%8."/>
      <w:lvlJc w:val="left"/>
      <w:pPr>
        <w:ind w:left="6120" w:hanging="360"/>
      </w:pPr>
      <w:rPr>
        <w:rFonts w:cs="Times New Roman"/>
      </w:rPr>
    </w:lvl>
    <w:lvl w:ilvl="8">
      <w:start w:val="1"/>
      <w:numFmt w:val="lowerRoman"/>
      <w:lvlText w:val="%9."/>
      <w:lvlJc w:val="right"/>
      <w:pPr>
        <w:ind w:left="6840" w:hanging="180"/>
      </w:pPr>
      <w:rPr>
        <w:rFonts w:cs="Times New Roman"/>
      </w:rPr>
    </w:lvl>
  </w:abstractNum>
  <w:abstractNum w:abstractNumId="31">
    <w:nsid w:val="5E5B0EB0"/>
    <w:multiLevelType w:val="hybridMultilevel"/>
    <w:tmpl w:val="4E1E4F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2EF3750"/>
    <w:multiLevelType w:val="multilevel"/>
    <w:tmpl w:val="1DF83838"/>
    <w:lvl w:ilvl="0">
      <w:numFmt w:val="decimal"/>
      <w:pStyle w:val="Titre1"/>
      <w:lvlText w:val="%1"/>
      <w:lvlJc w:val="left"/>
      <w:pPr>
        <w:tabs>
          <w:tab w:val="num" w:pos="432"/>
        </w:tabs>
        <w:ind w:left="432" w:hanging="432"/>
      </w:pPr>
      <w:rPr>
        <w:rFonts w:ascii="Arial" w:hAnsi="Arial" w:cs="Times New Roman" w:hint="default"/>
        <w:b/>
        <w:i w:val="0"/>
        <w:color w:val="D2232A"/>
        <w:sz w:val="20"/>
        <w:szCs w:val="20"/>
      </w:rPr>
    </w:lvl>
    <w:lvl w:ilvl="1">
      <w:start w:val="1"/>
      <w:numFmt w:val="decimal"/>
      <w:lvlText w:val="%1.%2"/>
      <w:lvlJc w:val="left"/>
      <w:pPr>
        <w:tabs>
          <w:tab w:val="num" w:pos="576"/>
        </w:tabs>
        <w:ind w:left="576" w:hanging="576"/>
      </w:pPr>
      <w:rPr>
        <w:rFonts w:ascii="Arial" w:hAnsi="Arial" w:cs="Times New Roman" w:hint="default"/>
        <w:b/>
        <w:i w:val="0"/>
        <w:sz w:val="20"/>
      </w:rPr>
    </w:lvl>
    <w:lvl w:ilvl="2">
      <w:start w:val="1"/>
      <w:numFmt w:val="decimal"/>
      <w:lvlText w:val="%1.%2.%3"/>
      <w:lvlJc w:val="left"/>
      <w:pPr>
        <w:tabs>
          <w:tab w:val="num" w:pos="720"/>
        </w:tabs>
        <w:ind w:left="720" w:hanging="720"/>
      </w:pPr>
      <w:rPr>
        <w:rFonts w:ascii="Arial" w:hAnsi="Arial" w:cs="Times New Roman" w:hint="default"/>
        <w:b/>
        <w:i w:val="0"/>
        <w:caps w:val="0"/>
        <w:sz w:val="20"/>
        <w:szCs w:val="20"/>
      </w:rPr>
    </w:lvl>
    <w:lvl w:ilvl="3">
      <w:start w:val="1"/>
      <w:numFmt w:val="decimal"/>
      <w:pStyle w:val="Titre4"/>
      <w:lvlText w:val="%1.%2.%3.%4"/>
      <w:lvlJc w:val="left"/>
      <w:pPr>
        <w:tabs>
          <w:tab w:val="num" w:pos="864"/>
        </w:tabs>
        <w:ind w:left="864" w:hanging="864"/>
      </w:pPr>
      <w:rPr>
        <w:rFonts w:ascii="Arial" w:hAnsi="Arial" w:cs="Times New Roman" w:hint="default"/>
        <w:b w:val="0"/>
        <w:i/>
        <w:sz w:val="20"/>
      </w:rPr>
    </w:lvl>
    <w:lvl w:ilvl="4">
      <w:start w:val="1"/>
      <w:numFmt w:val="decimal"/>
      <w:pStyle w:val="Titre5"/>
      <w:lvlText w:val="%1.%2.%3.%4.%5"/>
      <w:lvlJc w:val="left"/>
      <w:pPr>
        <w:tabs>
          <w:tab w:val="num" w:pos="1008"/>
        </w:tabs>
        <w:ind w:left="1008" w:hanging="1008"/>
      </w:pPr>
      <w:rPr>
        <w:rFonts w:cs="Times New Roman" w:hint="default"/>
        <w:sz w:val="24"/>
      </w:rPr>
    </w:lvl>
    <w:lvl w:ilvl="5">
      <w:start w:val="1"/>
      <w:numFmt w:val="decimal"/>
      <w:pStyle w:val="Titre6"/>
      <w:lvlText w:val="%1.%2.%3.%4.%5.%6"/>
      <w:lvlJc w:val="left"/>
      <w:pPr>
        <w:tabs>
          <w:tab w:val="num" w:pos="1152"/>
        </w:tabs>
        <w:ind w:left="1152" w:hanging="1152"/>
      </w:pPr>
      <w:rPr>
        <w:rFonts w:cs="Times New Roman" w:hint="default"/>
      </w:rPr>
    </w:lvl>
    <w:lvl w:ilvl="6">
      <w:start w:val="1"/>
      <w:numFmt w:val="decimal"/>
      <w:pStyle w:val="Titre7"/>
      <w:lvlText w:val="%1.%2.%3.%4.%5.%6.%7"/>
      <w:lvlJc w:val="left"/>
      <w:pPr>
        <w:tabs>
          <w:tab w:val="num" w:pos="1296"/>
        </w:tabs>
        <w:ind w:left="1296" w:hanging="1296"/>
      </w:pPr>
      <w:rPr>
        <w:rFonts w:cs="Times New Roman" w:hint="default"/>
      </w:rPr>
    </w:lvl>
    <w:lvl w:ilvl="7">
      <w:start w:val="1"/>
      <w:numFmt w:val="decimal"/>
      <w:pStyle w:val="Titre8"/>
      <w:lvlText w:val="%1.%2.%3.%4.%5.%6.%7.%8"/>
      <w:lvlJc w:val="left"/>
      <w:pPr>
        <w:tabs>
          <w:tab w:val="num" w:pos="1440"/>
        </w:tabs>
        <w:ind w:left="1440" w:hanging="1440"/>
      </w:pPr>
      <w:rPr>
        <w:rFonts w:cs="Times New Roman" w:hint="default"/>
      </w:rPr>
    </w:lvl>
    <w:lvl w:ilvl="8">
      <w:start w:val="1"/>
      <w:numFmt w:val="decimal"/>
      <w:pStyle w:val="Titre9"/>
      <w:lvlText w:val="%1.%2.%3.%4.%5.%6.%7.%8.%9"/>
      <w:lvlJc w:val="left"/>
      <w:pPr>
        <w:tabs>
          <w:tab w:val="num" w:pos="1584"/>
        </w:tabs>
        <w:ind w:left="1584" w:hanging="1584"/>
      </w:pPr>
      <w:rPr>
        <w:rFonts w:cs="Times New Roman" w:hint="default"/>
      </w:rPr>
    </w:lvl>
  </w:abstractNum>
  <w:abstractNum w:abstractNumId="33">
    <w:nsid w:val="63E75A21"/>
    <w:multiLevelType w:val="hybridMultilevel"/>
    <w:tmpl w:val="F864CC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88A35D6"/>
    <w:multiLevelType w:val="multilevel"/>
    <w:tmpl w:val="8D9E4BD4"/>
    <w:styleLink w:val="ECCNumberedList"/>
    <w:lvl w:ilvl="0">
      <w:start w:val="1"/>
      <w:numFmt w:val="decimal"/>
      <w:pStyle w:val="NumberedList"/>
      <w:lvlText w:val="%1."/>
      <w:lvlJc w:val="left"/>
      <w:pPr>
        <w:tabs>
          <w:tab w:val="num" w:pos="397"/>
        </w:tabs>
        <w:ind w:left="397" w:hanging="397"/>
      </w:pPr>
      <w:rPr>
        <w:rFonts w:ascii="Arial" w:hAnsi="Arial" w:hint="default"/>
        <w:b w:val="0"/>
        <w:i w:val="0"/>
        <w:color w:val="D2232A"/>
        <w:sz w:val="20"/>
      </w:rPr>
    </w:lvl>
    <w:lvl w:ilvl="1">
      <w:start w:val="1"/>
      <w:numFmt w:val="lowerLetter"/>
      <w:lvlText w:val="%2)"/>
      <w:lvlJc w:val="left"/>
      <w:pPr>
        <w:tabs>
          <w:tab w:val="num" w:pos="397"/>
        </w:tabs>
        <w:ind w:left="737" w:hanging="340"/>
      </w:pPr>
      <w:rPr>
        <w:rFonts w:ascii="Arial" w:hAnsi="Arial" w:hint="default"/>
        <w:b w:val="0"/>
        <w:i w:val="0"/>
        <w:color w:val="D2232A"/>
        <w:sz w:val="20"/>
      </w:rPr>
    </w:lvl>
    <w:lvl w:ilvl="2">
      <w:start w:val="1"/>
      <w:numFmt w:val="none"/>
      <w:lvlText w:val=""/>
      <w:lvlJc w:val="left"/>
      <w:pPr>
        <w:tabs>
          <w:tab w:val="num" w:pos="720"/>
        </w:tabs>
        <w:ind w:left="720" w:hanging="720"/>
      </w:pPr>
      <w:rPr>
        <w:rFonts w:ascii="Arial Bold" w:hAnsi="Arial Bold" w:hint="default"/>
        <w:b/>
        <w:i w:val="0"/>
        <w:sz w:val="20"/>
      </w:rPr>
    </w:lvl>
    <w:lvl w:ilvl="3">
      <w:start w:val="1"/>
      <w:numFmt w:val="none"/>
      <w:lvlText w:val=""/>
      <w:lvlJc w:val="left"/>
      <w:pPr>
        <w:tabs>
          <w:tab w:val="num" w:pos="864"/>
        </w:tabs>
        <w:ind w:left="864" w:hanging="864"/>
      </w:pPr>
      <w:rPr>
        <w:rFonts w:ascii="Arial" w:hAnsi="Arial" w:hint="default"/>
        <w:b w:val="0"/>
        <w:i/>
        <w:color w:val="2F2E79"/>
        <w:sz w:val="20"/>
      </w:rPr>
    </w:lvl>
    <w:lvl w:ilvl="4">
      <w:start w:val="1"/>
      <w:numFmt w:val="none"/>
      <w:lvlText w:val=""/>
      <w:lvlJc w:val="left"/>
      <w:pPr>
        <w:tabs>
          <w:tab w:val="num" w:pos="1008"/>
        </w:tabs>
        <w:ind w:left="1008" w:hanging="1008"/>
      </w:pPr>
      <w:rPr>
        <w:rFonts w:hint="default"/>
        <w:sz w:val="24"/>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35">
    <w:nsid w:val="6A1D3072"/>
    <w:multiLevelType w:val="hybridMultilevel"/>
    <w:tmpl w:val="A4A0F9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0B363A9"/>
    <w:multiLevelType w:val="multilevel"/>
    <w:tmpl w:val="0409001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7">
    <w:nsid w:val="71BB5873"/>
    <w:multiLevelType w:val="hybridMultilevel"/>
    <w:tmpl w:val="E74A9AB4"/>
    <w:lvl w:ilvl="0" w:tplc="F6E0A874">
      <w:numFmt w:val="bullet"/>
      <w:lvlText w:val="-"/>
      <w:lvlJc w:val="left"/>
      <w:pPr>
        <w:ind w:left="1080" w:hanging="720"/>
      </w:pPr>
      <w:rPr>
        <w:rFonts w:ascii="Arial" w:eastAsia="Times New Roman"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27411E4"/>
    <w:multiLevelType w:val="hybridMultilevel"/>
    <w:tmpl w:val="03AC407E"/>
    <w:lvl w:ilvl="0" w:tplc="0409000F">
      <w:start w:val="1"/>
      <w:numFmt w:val="decimal"/>
      <w:lvlText w:val="%1."/>
      <w:lvlJc w:val="left"/>
      <w:pPr>
        <w:ind w:left="1080" w:hanging="360"/>
      </w:pPr>
      <w:rPr>
        <w:rFonts w:cs="Times New Roman"/>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39">
    <w:nsid w:val="733C0566"/>
    <w:multiLevelType w:val="hybridMultilevel"/>
    <w:tmpl w:val="B0B495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4774208"/>
    <w:multiLevelType w:val="hybridMultilevel"/>
    <w:tmpl w:val="C27CB7AE"/>
    <w:lvl w:ilvl="0" w:tplc="0406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1">
    <w:nsid w:val="76B55D20"/>
    <w:multiLevelType w:val="hybridMultilevel"/>
    <w:tmpl w:val="D1BA7644"/>
    <w:lvl w:ilvl="0" w:tplc="04060001">
      <w:start w:val="1"/>
      <w:numFmt w:val="bullet"/>
      <w:lvlText w:val=""/>
      <w:lvlJc w:val="left"/>
      <w:pPr>
        <w:ind w:left="720" w:hanging="360"/>
      </w:pPr>
      <w:rPr>
        <w:rFonts w:ascii="Symbol" w:hAnsi="Symbol" w:hint="default"/>
        <w:color w:val="D2232A"/>
      </w:rPr>
    </w:lvl>
    <w:lvl w:ilvl="1" w:tplc="04060003" w:tentative="1">
      <w:start w:val="1"/>
      <w:numFmt w:val="bullet"/>
      <w:lvlText w:val="o"/>
      <w:lvlJc w:val="left"/>
      <w:pPr>
        <w:ind w:left="1440" w:hanging="360"/>
      </w:pPr>
      <w:rPr>
        <w:rFonts w:ascii="Courier New" w:hAnsi="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42">
    <w:nsid w:val="76F26E5D"/>
    <w:multiLevelType w:val="hybridMultilevel"/>
    <w:tmpl w:val="5636B3F6"/>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3">
    <w:nsid w:val="79F917BB"/>
    <w:multiLevelType w:val="hybridMultilevel"/>
    <w:tmpl w:val="FDB6E64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4">
    <w:nsid w:val="7AE15BA3"/>
    <w:multiLevelType w:val="hybridMultilevel"/>
    <w:tmpl w:val="72FA63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7B3212E4"/>
    <w:multiLevelType w:val="multilevel"/>
    <w:tmpl w:val="A724997C"/>
    <w:lvl w:ilvl="0">
      <w:start w:val="1"/>
      <w:numFmt w:val="decimal"/>
      <w:pStyle w:val="ECCTabletitle"/>
      <w:suff w:val="space"/>
      <w:lvlText w:val="Table %1:"/>
      <w:lvlJc w:val="left"/>
      <w:pPr>
        <w:ind w:left="360" w:hanging="360"/>
      </w:pPr>
      <w:rPr>
        <w:rFonts w:ascii="Arial" w:hAnsi="Arial" w:cs="Times New Roman" w:hint="default"/>
        <w:b/>
        <w:i w:val="0"/>
        <w:color w:val="D2232A"/>
        <w:sz w:val="20"/>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num w:numId="1">
    <w:abstractNumId w:val="9"/>
  </w:num>
  <w:num w:numId="2">
    <w:abstractNumId w:val="19"/>
  </w:num>
  <w:num w:numId="3">
    <w:abstractNumId w:val="45"/>
  </w:num>
  <w:num w:numId="4">
    <w:abstractNumId w:val="24"/>
  </w:num>
  <w:num w:numId="5">
    <w:abstractNumId w:val="10"/>
  </w:num>
  <w:num w:numId="6">
    <w:abstractNumId w:val="22"/>
  </w:num>
  <w:num w:numId="7">
    <w:abstractNumId w:val="22"/>
    <w:lvlOverride w:ilvl="0">
      <w:startOverride w:val="1"/>
    </w:lvlOverride>
  </w:num>
  <w:num w:numId="8">
    <w:abstractNumId w:val="18"/>
  </w:num>
  <w:num w:numId="9">
    <w:abstractNumId w:val="5"/>
  </w:num>
  <w:num w:numId="10">
    <w:abstractNumId w:val="3"/>
  </w:num>
  <w:num w:numId="11">
    <w:abstractNumId w:val="26"/>
  </w:num>
  <w:num w:numId="12">
    <w:abstractNumId w:val="4"/>
  </w:num>
  <w:num w:numId="13">
    <w:abstractNumId w:val="7"/>
  </w:num>
  <w:num w:numId="14">
    <w:abstractNumId w:val="0"/>
  </w:num>
  <w:num w:numId="15">
    <w:abstractNumId w:val="41"/>
  </w:num>
  <w:num w:numId="16">
    <w:abstractNumId w:val="1"/>
  </w:num>
  <w:num w:numId="17">
    <w:abstractNumId w:val="13"/>
  </w:num>
  <w:num w:numId="18">
    <w:abstractNumId w:val="2"/>
  </w:num>
  <w:num w:numId="19">
    <w:abstractNumId w:val="16"/>
  </w:num>
  <w:num w:numId="20">
    <w:abstractNumId w:val="12"/>
  </w:num>
  <w:num w:numId="21">
    <w:abstractNumId w:val="27"/>
  </w:num>
  <w:num w:numId="22">
    <w:abstractNumId w:val="15"/>
  </w:num>
  <w:num w:numId="23">
    <w:abstractNumId w:val="38"/>
  </w:num>
  <w:num w:numId="24">
    <w:abstractNumId w:val="30"/>
  </w:num>
  <w:num w:numId="25">
    <w:abstractNumId w:val="11"/>
  </w:num>
  <w:num w:numId="26">
    <w:abstractNumId w:val="25"/>
  </w:num>
  <w:num w:numId="27">
    <w:abstractNumId w:val="19"/>
  </w:num>
  <w:num w:numId="28">
    <w:abstractNumId w:val="14"/>
  </w:num>
  <w:num w:numId="29">
    <w:abstractNumId w:val="43"/>
  </w:num>
  <w:num w:numId="30">
    <w:abstractNumId w:val="19"/>
  </w:num>
  <w:num w:numId="31">
    <w:abstractNumId w:val="19"/>
  </w:num>
  <w:num w:numId="32">
    <w:abstractNumId w:val="19"/>
  </w:num>
  <w:num w:numId="33">
    <w:abstractNumId w:val="31"/>
  </w:num>
  <w:num w:numId="34">
    <w:abstractNumId w:val="8"/>
  </w:num>
  <w:num w:numId="35">
    <w:abstractNumId w:val="44"/>
  </w:num>
  <w:num w:numId="36">
    <w:abstractNumId w:val="42"/>
  </w:num>
  <w:num w:numId="37">
    <w:abstractNumId w:val="40"/>
  </w:num>
  <w:num w:numId="38">
    <w:abstractNumId w:val="23"/>
  </w:num>
  <w:num w:numId="39">
    <w:abstractNumId w:val="36"/>
  </w:num>
  <w:num w:numId="40">
    <w:abstractNumId w:val="33"/>
  </w:num>
  <w:num w:numId="41">
    <w:abstractNumId w:val="32"/>
  </w:num>
  <w:num w:numId="42">
    <w:abstractNumId w:val="17"/>
  </w:num>
  <w:num w:numId="43">
    <w:abstractNumId w:val="37"/>
  </w:num>
  <w:num w:numId="44">
    <w:abstractNumId w:val="21"/>
  </w:num>
  <w:num w:numId="45">
    <w:abstractNumId w:val="35"/>
  </w:num>
  <w:num w:numId="46">
    <w:abstractNumId w:val="39"/>
  </w:num>
  <w:num w:numId="47">
    <w:abstractNumId w:val="29"/>
  </w:num>
  <w:num w:numId="48">
    <w:abstractNumId w:val="20"/>
  </w:num>
  <w:num w:numId="49">
    <w:abstractNumId w:val="6"/>
  </w:num>
  <w:num w:numId="50">
    <w:abstractNumId w:val="28"/>
  </w:num>
  <w:num w:numId="51">
    <w:abstractNumId w:val="34"/>
    <w:lvlOverride w:ilvl="0">
      <w:lvl w:ilvl="0">
        <w:start w:val="1"/>
        <w:numFmt w:val="decimal"/>
        <w:pStyle w:val="NumberedList"/>
        <w:lvlText w:val="%1."/>
        <w:lvlJc w:val="left"/>
        <w:pPr>
          <w:tabs>
            <w:tab w:val="num" w:pos="397"/>
          </w:tabs>
          <w:ind w:left="397" w:hanging="397"/>
        </w:pPr>
        <w:rPr>
          <w:rFonts w:ascii="Arial" w:hAnsi="Arial" w:hint="default"/>
          <w:b/>
          <w:i w:val="0"/>
          <w:color w:val="D2232A"/>
          <w:sz w:val="20"/>
        </w:rPr>
      </w:lvl>
    </w:lvlOverride>
  </w:num>
  <w:num w:numId="52">
    <w:abstractNumId w:val="34"/>
  </w:num>
  <w:num w:numId="53">
    <w:abstractNumId w:val="34"/>
    <w:lvlOverride w:ilvl="0">
      <w:lvl w:ilvl="0">
        <w:start w:val="1"/>
        <w:numFmt w:val="decimal"/>
        <w:pStyle w:val="NumberedList"/>
        <w:lvlText w:val="%1."/>
        <w:lvlJc w:val="left"/>
        <w:pPr>
          <w:tabs>
            <w:tab w:val="num" w:pos="397"/>
          </w:tabs>
          <w:ind w:left="397" w:hanging="397"/>
        </w:pPr>
        <w:rPr>
          <w:rFonts w:ascii="Arial" w:hAnsi="Arial" w:hint="default"/>
          <w:b/>
          <w:i w:val="0"/>
          <w:color w:val="D2232A"/>
          <w:sz w:val="20"/>
        </w:rPr>
      </w:lvl>
    </w:lvlOverride>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2001" w:allStyles="1" w:customStyles="0" w:latentStyles="0" w:stylesInUse="0" w:headingStyles="0" w:numberingStyles="0" w:tableStyles="0" w:directFormattingOnRuns="0" w:directFormattingOnParagraphs="0" w:directFormattingOnNumbering="0" w:directFormattingOnTables="0" w:clearFormatting="0" w:top3HeadingStyles="1" w:visibleStyles="0" w:alternateStyleNames="0"/>
  <w:defaultTabStop w:val="720"/>
  <w:hyphenationZone w:val="425"/>
  <w:evenAndOddHeaders/>
  <w:characterSpacingControl w:val="doNotCompress"/>
  <w:hdrShapeDefaults>
    <o:shapedefaults v:ext="edit" spidmax="2055"/>
    <o:shapelayout v:ext="edit">
      <o:idmap v:ext="edit" data="2"/>
    </o:shapelayout>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2E5E"/>
    <w:rsid w:val="00001556"/>
    <w:rsid w:val="00021B5B"/>
    <w:rsid w:val="00024962"/>
    <w:rsid w:val="00026261"/>
    <w:rsid w:val="0003009C"/>
    <w:rsid w:val="00034BA4"/>
    <w:rsid w:val="00046A28"/>
    <w:rsid w:val="000543D1"/>
    <w:rsid w:val="00062E1F"/>
    <w:rsid w:val="00065D5B"/>
    <w:rsid w:val="0007176D"/>
    <w:rsid w:val="0007180E"/>
    <w:rsid w:val="0007247D"/>
    <w:rsid w:val="00072962"/>
    <w:rsid w:val="0007477E"/>
    <w:rsid w:val="00080D86"/>
    <w:rsid w:val="00081C87"/>
    <w:rsid w:val="00082D5C"/>
    <w:rsid w:val="0009051A"/>
    <w:rsid w:val="00097FC3"/>
    <w:rsid w:val="000A05A2"/>
    <w:rsid w:val="000A09C5"/>
    <w:rsid w:val="000A3477"/>
    <w:rsid w:val="000A5452"/>
    <w:rsid w:val="000A672F"/>
    <w:rsid w:val="000A6EE7"/>
    <w:rsid w:val="000B26A3"/>
    <w:rsid w:val="000B3CD6"/>
    <w:rsid w:val="000B5D74"/>
    <w:rsid w:val="000B67C3"/>
    <w:rsid w:val="000C1051"/>
    <w:rsid w:val="000C27AC"/>
    <w:rsid w:val="000C33BD"/>
    <w:rsid w:val="000C4D99"/>
    <w:rsid w:val="000C69EB"/>
    <w:rsid w:val="000D426E"/>
    <w:rsid w:val="000E0273"/>
    <w:rsid w:val="000E0489"/>
    <w:rsid w:val="000E1BDE"/>
    <w:rsid w:val="000E3E5D"/>
    <w:rsid w:val="000E62C8"/>
    <w:rsid w:val="000F2C88"/>
    <w:rsid w:val="000F7E0D"/>
    <w:rsid w:val="00104CF2"/>
    <w:rsid w:val="00105301"/>
    <w:rsid w:val="00105CD9"/>
    <w:rsid w:val="00105FE9"/>
    <w:rsid w:val="00106E27"/>
    <w:rsid w:val="0010769E"/>
    <w:rsid w:val="001223D0"/>
    <w:rsid w:val="00131FCD"/>
    <w:rsid w:val="0013440F"/>
    <w:rsid w:val="00140566"/>
    <w:rsid w:val="00141770"/>
    <w:rsid w:val="00146638"/>
    <w:rsid w:val="001523DA"/>
    <w:rsid w:val="00155219"/>
    <w:rsid w:val="00156B84"/>
    <w:rsid w:val="00161F9C"/>
    <w:rsid w:val="00166648"/>
    <w:rsid w:val="001666AB"/>
    <w:rsid w:val="00173D8F"/>
    <w:rsid w:val="00175349"/>
    <w:rsid w:val="00177A97"/>
    <w:rsid w:val="00191ECB"/>
    <w:rsid w:val="001B64CB"/>
    <w:rsid w:val="001C408E"/>
    <w:rsid w:val="001C5BD3"/>
    <w:rsid w:val="001D2AA3"/>
    <w:rsid w:val="001E1F66"/>
    <w:rsid w:val="001E777F"/>
    <w:rsid w:val="001F0853"/>
    <w:rsid w:val="001F2D26"/>
    <w:rsid w:val="001F7D07"/>
    <w:rsid w:val="0020388E"/>
    <w:rsid w:val="002048B0"/>
    <w:rsid w:val="00207DBD"/>
    <w:rsid w:val="002101F9"/>
    <w:rsid w:val="00215B1E"/>
    <w:rsid w:val="002161FB"/>
    <w:rsid w:val="00224478"/>
    <w:rsid w:val="00224AD4"/>
    <w:rsid w:val="00227AB2"/>
    <w:rsid w:val="0023167B"/>
    <w:rsid w:val="002340C4"/>
    <w:rsid w:val="00236B07"/>
    <w:rsid w:val="00236E23"/>
    <w:rsid w:val="0025197C"/>
    <w:rsid w:val="0025553C"/>
    <w:rsid w:val="00272885"/>
    <w:rsid w:val="00276E66"/>
    <w:rsid w:val="00277C08"/>
    <w:rsid w:val="00277C4B"/>
    <w:rsid w:val="002805A8"/>
    <w:rsid w:val="002827D0"/>
    <w:rsid w:val="002828F4"/>
    <w:rsid w:val="002829E2"/>
    <w:rsid w:val="002834D8"/>
    <w:rsid w:val="00283EC3"/>
    <w:rsid w:val="0028735C"/>
    <w:rsid w:val="00287928"/>
    <w:rsid w:val="00290FAF"/>
    <w:rsid w:val="002922CE"/>
    <w:rsid w:val="00293746"/>
    <w:rsid w:val="00296D01"/>
    <w:rsid w:val="002A2301"/>
    <w:rsid w:val="002A2459"/>
    <w:rsid w:val="002A3901"/>
    <w:rsid w:val="002A43F3"/>
    <w:rsid w:val="002A7A99"/>
    <w:rsid w:val="002C528C"/>
    <w:rsid w:val="002C6D63"/>
    <w:rsid w:val="002C7E44"/>
    <w:rsid w:val="002D1EF0"/>
    <w:rsid w:val="002D4348"/>
    <w:rsid w:val="002D7340"/>
    <w:rsid w:val="002E2B0B"/>
    <w:rsid w:val="002F1737"/>
    <w:rsid w:val="002F4DA7"/>
    <w:rsid w:val="002F723F"/>
    <w:rsid w:val="002F7DC1"/>
    <w:rsid w:val="003007DA"/>
    <w:rsid w:val="00323F7F"/>
    <w:rsid w:val="00325471"/>
    <w:rsid w:val="003270C2"/>
    <w:rsid w:val="00332073"/>
    <w:rsid w:val="00342901"/>
    <w:rsid w:val="00343062"/>
    <w:rsid w:val="00343253"/>
    <w:rsid w:val="0034723E"/>
    <w:rsid w:val="00347E2D"/>
    <w:rsid w:val="003510E0"/>
    <w:rsid w:val="003516C1"/>
    <w:rsid w:val="003520B4"/>
    <w:rsid w:val="00352C91"/>
    <w:rsid w:val="003550E2"/>
    <w:rsid w:val="00370B34"/>
    <w:rsid w:val="003737B6"/>
    <w:rsid w:val="00375755"/>
    <w:rsid w:val="00376278"/>
    <w:rsid w:val="0038026C"/>
    <w:rsid w:val="0038065D"/>
    <w:rsid w:val="00390E7E"/>
    <w:rsid w:val="003920E8"/>
    <w:rsid w:val="00392AC8"/>
    <w:rsid w:val="003958BC"/>
    <w:rsid w:val="003A1DF9"/>
    <w:rsid w:val="003A29E4"/>
    <w:rsid w:val="003A6C48"/>
    <w:rsid w:val="003B2174"/>
    <w:rsid w:val="003B49E1"/>
    <w:rsid w:val="003B63F2"/>
    <w:rsid w:val="003C0188"/>
    <w:rsid w:val="003C0916"/>
    <w:rsid w:val="003C3248"/>
    <w:rsid w:val="003C66E3"/>
    <w:rsid w:val="003C6B15"/>
    <w:rsid w:val="003C7B4A"/>
    <w:rsid w:val="003D0C21"/>
    <w:rsid w:val="003D0F5F"/>
    <w:rsid w:val="003D542A"/>
    <w:rsid w:val="003D5BFD"/>
    <w:rsid w:val="003E2F86"/>
    <w:rsid w:val="003E46D9"/>
    <w:rsid w:val="003F155A"/>
    <w:rsid w:val="003F4AD2"/>
    <w:rsid w:val="003F7708"/>
    <w:rsid w:val="00410CB1"/>
    <w:rsid w:val="00410E12"/>
    <w:rsid w:val="00412442"/>
    <w:rsid w:val="00424543"/>
    <w:rsid w:val="00426DAF"/>
    <w:rsid w:val="00427DEF"/>
    <w:rsid w:val="0043453E"/>
    <w:rsid w:val="00443380"/>
    <w:rsid w:val="00447A3C"/>
    <w:rsid w:val="00447D2B"/>
    <w:rsid w:val="00461AC3"/>
    <w:rsid w:val="00467EBE"/>
    <w:rsid w:val="0048002F"/>
    <w:rsid w:val="004819A7"/>
    <w:rsid w:val="0048230E"/>
    <w:rsid w:val="00485067"/>
    <w:rsid w:val="00490DE5"/>
    <w:rsid w:val="004949E2"/>
    <w:rsid w:val="00495314"/>
    <w:rsid w:val="00496116"/>
    <w:rsid w:val="004A3A8A"/>
    <w:rsid w:val="004A4BD0"/>
    <w:rsid w:val="004B0161"/>
    <w:rsid w:val="004B7F8C"/>
    <w:rsid w:val="004C3696"/>
    <w:rsid w:val="004C52B8"/>
    <w:rsid w:val="004C5D08"/>
    <w:rsid w:val="004C74A4"/>
    <w:rsid w:val="004D1137"/>
    <w:rsid w:val="004D26F2"/>
    <w:rsid w:val="004D2BE1"/>
    <w:rsid w:val="004F12C0"/>
    <w:rsid w:val="00502FE9"/>
    <w:rsid w:val="00504B97"/>
    <w:rsid w:val="005055D0"/>
    <w:rsid w:val="005137DB"/>
    <w:rsid w:val="00516E71"/>
    <w:rsid w:val="00517184"/>
    <w:rsid w:val="00517D97"/>
    <w:rsid w:val="00524CBF"/>
    <w:rsid w:val="00530A0D"/>
    <w:rsid w:val="00532592"/>
    <w:rsid w:val="0053626D"/>
    <w:rsid w:val="0053683B"/>
    <w:rsid w:val="00537E1A"/>
    <w:rsid w:val="00540315"/>
    <w:rsid w:val="00547AF8"/>
    <w:rsid w:val="00552332"/>
    <w:rsid w:val="005608DB"/>
    <w:rsid w:val="005805EA"/>
    <w:rsid w:val="00583EA8"/>
    <w:rsid w:val="00584148"/>
    <w:rsid w:val="005A00E5"/>
    <w:rsid w:val="005A44D2"/>
    <w:rsid w:val="005A4963"/>
    <w:rsid w:val="005A6DFA"/>
    <w:rsid w:val="005B4D1B"/>
    <w:rsid w:val="005C1226"/>
    <w:rsid w:val="005C7337"/>
    <w:rsid w:val="005E0E9E"/>
    <w:rsid w:val="005E359B"/>
    <w:rsid w:val="005E7B2D"/>
    <w:rsid w:val="00603A82"/>
    <w:rsid w:val="00604798"/>
    <w:rsid w:val="00605627"/>
    <w:rsid w:val="006058CE"/>
    <w:rsid w:val="00607816"/>
    <w:rsid w:val="006110DC"/>
    <w:rsid w:val="00613224"/>
    <w:rsid w:val="006141BB"/>
    <w:rsid w:val="00621387"/>
    <w:rsid w:val="0062584E"/>
    <w:rsid w:val="00630064"/>
    <w:rsid w:val="00631909"/>
    <w:rsid w:val="00640138"/>
    <w:rsid w:val="006467A6"/>
    <w:rsid w:val="00650809"/>
    <w:rsid w:val="00653EE8"/>
    <w:rsid w:val="00655954"/>
    <w:rsid w:val="00681176"/>
    <w:rsid w:val="0068766A"/>
    <w:rsid w:val="00695917"/>
    <w:rsid w:val="00695D95"/>
    <w:rsid w:val="00696621"/>
    <w:rsid w:val="006A74E3"/>
    <w:rsid w:val="006B2AF8"/>
    <w:rsid w:val="006B37A0"/>
    <w:rsid w:val="006B5ACF"/>
    <w:rsid w:val="006C482D"/>
    <w:rsid w:val="006C5CB4"/>
    <w:rsid w:val="006C6501"/>
    <w:rsid w:val="006C6DCC"/>
    <w:rsid w:val="006D64FC"/>
    <w:rsid w:val="006E0677"/>
    <w:rsid w:val="006E3A32"/>
    <w:rsid w:val="006F10EC"/>
    <w:rsid w:val="006F2DD0"/>
    <w:rsid w:val="006F69C0"/>
    <w:rsid w:val="00700AA5"/>
    <w:rsid w:val="007010D8"/>
    <w:rsid w:val="0070249F"/>
    <w:rsid w:val="00705673"/>
    <w:rsid w:val="007118CC"/>
    <w:rsid w:val="00712531"/>
    <w:rsid w:val="007133C4"/>
    <w:rsid w:val="007233EF"/>
    <w:rsid w:val="0072374F"/>
    <w:rsid w:val="0072666F"/>
    <w:rsid w:val="007309D3"/>
    <w:rsid w:val="00730EE4"/>
    <w:rsid w:val="007336BB"/>
    <w:rsid w:val="00734ADC"/>
    <w:rsid w:val="00743C73"/>
    <w:rsid w:val="007462C2"/>
    <w:rsid w:val="00746818"/>
    <w:rsid w:val="00753CCC"/>
    <w:rsid w:val="0075423C"/>
    <w:rsid w:val="007554A3"/>
    <w:rsid w:val="007735E5"/>
    <w:rsid w:val="00774C67"/>
    <w:rsid w:val="00774D88"/>
    <w:rsid w:val="00784128"/>
    <w:rsid w:val="007970C2"/>
    <w:rsid w:val="007A2F93"/>
    <w:rsid w:val="007A536B"/>
    <w:rsid w:val="007A6BC6"/>
    <w:rsid w:val="007B54CA"/>
    <w:rsid w:val="007C1469"/>
    <w:rsid w:val="007C5F95"/>
    <w:rsid w:val="007C71AB"/>
    <w:rsid w:val="007D1320"/>
    <w:rsid w:val="007D1448"/>
    <w:rsid w:val="007F1797"/>
    <w:rsid w:val="007F5A8D"/>
    <w:rsid w:val="007F715A"/>
    <w:rsid w:val="008024E6"/>
    <w:rsid w:val="00803E7E"/>
    <w:rsid w:val="0081598D"/>
    <w:rsid w:val="00826245"/>
    <w:rsid w:val="0083161D"/>
    <w:rsid w:val="00834B26"/>
    <w:rsid w:val="00840BBF"/>
    <w:rsid w:val="00842FCB"/>
    <w:rsid w:val="00845A65"/>
    <w:rsid w:val="00846046"/>
    <w:rsid w:val="00850F2A"/>
    <w:rsid w:val="008529CF"/>
    <w:rsid w:val="00853F25"/>
    <w:rsid w:val="008627CA"/>
    <w:rsid w:val="00863A9A"/>
    <w:rsid w:val="008642C6"/>
    <w:rsid w:val="00865F1C"/>
    <w:rsid w:val="008661E1"/>
    <w:rsid w:val="00870F6D"/>
    <w:rsid w:val="008711CF"/>
    <w:rsid w:val="00877549"/>
    <w:rsid w:val="0089665A"/>
    <w:rsid w:val="00897AB9"/>
    <w:rsid w:val="008A22AD"/>
    <w:rsid w:val="008A3991"/>
    <w:rsid w:val="008A68C3"/>
    <w:rsid w:val="008B2DDE"/>
    <w:rsid w:val="008B3C16"/>
    <w:rsid w:val="008B5624"/>
    <w:rsid w:val="008C194F"/>
    <w:rsid w:val="008C2CA2"/>
    <w:rsid w:val="008C5ECC"/>
    <w:rsid w:val="008C7379"/>
    <w:rsid w:val="008D20E3"/>
    <w:rsid w:val="008D554C"/>
    <w:rsid w:val="008D72C8"/>
    <w:rsid w:val="008E3AC4"/>
    <w:rsid w:val="008F5187"/>
    <w:rsid w:val="009062F3"/>
    <w:rsid w:val="00907A40"/>
    <w:rsid w:val="009139C5"/>
    <w:rsid w:val="0091456C"/>
    <w:rsid w:val="009155A0"/>
    <w:rsid w:val="0091612F"/>
    <w:rsid w:val="009207F3"/>
    <w:rsid w:val="00921C00"/>
    <w:rsid w:val="009248D4"/>
    <w:rsid w:val="00930FD5"/>
    <w:rsid w:val="00933D83"/>
    <w:rsid w:val="009451F5"/>
    <w:rsid w:val="0095635C"/>
    <w:rsid w:val="00962E33"/>
    <w:rsid w:val="00964373"/>
    <w:rsid w:val="00974F5C"/>
    <w:rsid w:val="00982247"/>
    <w:rsid w:val="0098769E"/>
    <w:rsid w:val="00990D3C"/>
    <w:rsid w:val="009929A7"/>
    <w:rsid w:val="009A3FE8"/>
    <w:rsid w:val="009A7166"/>
    <w:rsid w:val="009B1FA5"/>
    <w:rsid w:val="009B4646"/>
    <w:rsid w:val="009C6AB2"/>
    <w:rsid w:val="009D3431"/>
    <w:rsid w:val="009D6271"/>
    <w:rsid w:val="009F4C45"/>
    <w:rsid w:val="00A052ED"/>
    <w:rsid w:val="00A07DF8"/>
    <w:rsid w:val="00A10264"/>
    <w:rsid w:val="00A1407D"/>
    <w:rsid w:val="00A15BE8"/>
    <w:rsid w:val="00A212F6"/>
    <w:rsid w:val="00A225A7"/>
    <w:rsid w:val="00A26EBC"/>
    <w:rsid w:val="00A344AB"/>
    <w:rsid w:val="00A3467E"/>
    <w:rsid w:val="00A43145"/>
    <w:rsid w:val="00A45B9B"/>
    <w:rsid w:val="00A469E4"/>
    <w:rsid w:val="00A51902"/>
    <w:rsid w:val="00A52465"/>
    <w:rsid w:val="00A548BE"/>
    <w:rsid w:val="00A61693"/>
    <w:rsid w:val="00A6250B"/>
    <w:rsid w:val="00A656B1"/>
    <w:rsid w:val="00A717E4"/>
    <w:rsid w:val="00A75FD8"/>
    <w:rsid w:val="00A904F8"/>
    <w:rsid w:val="00A90ED1"/>
    <w:rsid w:val="00A93DA1"/>
    <w:rsid w:val="00A9609E"/>
    <w:rsid w:val="00AA6594"/>
    <w:rsid w:val="00AB3D5C"/>
    <w:rsid w:val="00AB617C"/>
    <w:rsid w:val="00AB7676"/>
    <w:rsid w:val="00AC06C8"/>
    <w:rsid w:val="00AC0A94"/>
    <w:rsid w:val="00AC1C60"/>
    <w:rsid w:val="00AC3E0A"/>
    <w:rsid w:val="00AC3F05"/>
    <w:rsid w:val="00AC4372"/>
    <w:rsid w:val="00AC5CFF"/>
    <w:rsid w:val="00AC6556"/>
    <w:rsid w:val="00AD337F"/>
    <w:rsid w:val="00AE2A78"/>
    <w:rsid w:val="00AE4B6D"/>
    <w:rsid w:val="00AF1BD8"/>
    <w:rsid w:val="00AF4EF1"/>
    <w:rsid w:val="00AF63F6"/>
    <w:rsid w:val="00B05A76"/>
    <w:rsid w:val="00B1187A"/>
    <w:rsid w:val="00B11C67"/>
    <w:rsid w:val="00B13A26"/>
    <w:rsid w:val="00B146D3"/>
    <w:rsid w:val="00B16229"/>
    <w:rsid w:val="00B263FA"/>
    <w:rsid w:val="00B27F35"/>
    <w:rsid w:val="00B32444"/>
    <w:rsid w:val="00B33468"/>
    <w:rsid w:val="00B413B1"/>
    <w:rsid w:val="00B43FBB"/>
    <w:rsid w:val="00B44DD2"/>
    <w:rsid w:val="00B46F9B"/>
    <w:rsid w:val="00B54828"/>
    <w:rsid w:val="00B579B6"/>
    <w:rsid w:val="00B6152C"/>
    <w:rsid w:val="00B663D9"/>
    <w:rsid w:val="00B71024"/>
    <w:rsid w:val="00B75A92"/>
    <w:rsid w:val="00B86F72"/>
    <w:rsid w:val="00B96E99"/>
    <w:rsid w:val="00BA4F1A"/>
    <w:rsid w:val="00BB0800"/>
    <w:rsid w:val="00BB4369"/>
    <w:rsid w:val="00BB4CF8"/>
    <w:rsid w:val="00BB6FA7"/>
    <w:rsid w:val="00BD251C"/>
    <w:rsid w:val="00BD43F4"/>
    <w:rsid w:val="00BE0A41"/>
    <w:rsid w:val="00BE10E8"/>
    <w:rsid w:val="00BE32A9"/>
    <w:rsid w:val="00BF4931"/>
    <w:rsid w:val="00BF7585"/>
    <w:rsid w:val="00C0424A"/>
    <w:rsid w:val="00C056DD"/>
    <w:rsid w:val="00C139D0"/>
    <w:rsid w:val="00C14056"/>
    <w:rsid w:val="00C14738"/>
    <w:rsid w:val="00C15D8B"/>
    <w:rsid w:val="00C23523"/>
    <w:rsid w:val="00C23EED"/>
    <w:rsid w:val="00C24075"/>
    <w:rsid w:val="00C2768D"/>
    <w:rsid w:val="00C36A43"/>
    <w:rsid w:val="00C36F8C"/>
    <w:rsid w:val="00C37ACE"/>
    <w:rsid w:val="00C46614"/>
    <w:rsid w:val="00C54976"/>
    <w:rsid w:val="00C64BE9"/>
    <w:rsid w:val="00C66BB2"/>
    <w:rsid w:val="00C7007E"/>
    <w:rsid w:val="00C7486C"/>
    <w:rsid w:val="00C878CD"/>
    <w:rsid w:val="00C95C7C"/>
    <w:rsid w:val="00CA001F"/>
    <w:rsid w:val="00CA23D6"/>
    <w:rsid w:val="00CA3229"/>
    <w:rsid w:val="00CA6D47"/>
    <w:rsid w:val="00CB0AD7"/>
    <w:rsid w:val="00CB4198"/>
    <w:rsid w:val="00CB7A8E"/>
    <w:rsid w:val="00CC06D0"/>
    <w:rsid w:val="00CC26EB"/>
    <w:rsid w:val="00CC41AA"/>
    <w:rsid w:val="00CD0024"/>
    <w:rsid w:val="00CD34A9"/>
    <w:rsid w:val="00CD53FB"/>
    <w:rsid w:val="00CD79D0"/>
    <w:rsid w:val="00CE68EC"/>
    <w:rsid w:val="00D008D8"/>
    <w:rsid w:val="00D00A86"/>
    <w:rsid w:val="00D01AE2"/>
    <w:rsid w:val="00D049DA"/>
    <w:rsid w:val="00D0510C"/>
    <w:rsid w:val="00D05EAA"/>
    <w:rsid w:val="00D117CB"/>
    <w:rsid w:val="00D2076E"/>
    <w:rsid w:val="00D22454"/>
    <w:rsid w:val="00D23CBC"/>
    <w:rsid w:val="00D23EDE"/>
    <w:rsid w:val="00D247A7"/>
    <w:rsid w:val="00D32596"/>
    <w:rsid w:val="00D33920"/>
    <w:rsid w:val="00D346A4"/>
    <w:rsid w:val="00D351ED"/>
    <w:rsid w:val="00D37179"/>
    <w:rsid w:val="00D41FC0"/>
    <w:rsid w:val="00D44098"/>
    <w:rsid w:val="00D47356"/>
    <w:rsid w:val="00D56869"/>
    <w:rsid w:val="00D642E7"/>
    <w:rsid w:val="00D80650"/>
    <w:rsid w:val="00D94877"/>
    <w:rsid w:val="00DA1CC6"/>
    <w:rsid w:val="00DA7CD7"/>
    <w:rsid w:val="00DB30C2"/>
    <w:rsid w:val="00DB7098"/>
    <w:rsid w:val="00DC29D3"/>
    <w:rsid w:val="00DC5AB9"/>
    <w:rsid w:val="00DD10DA"/>
    <w:rsid w:val="00DD5522"/>
    <w:rsid w:val="00DF270A"/>
    <w:rsid w:val="00E12BE6"/>
    <w:rsid w:val="00E21C1D"/>
    <w:rsid w:val="00E22E5E"/>
    <w:rsid w:val="00E261E3"/>
    <w:rsid w:val="00E27033"/>
    <w:rsid w:val="00E3522C"/>
    <w:rsid w:val="00E408E6"/>
    <w:rsid w:val="00E4115E"/>
    <w:rsid w:val="00E467A7"/>
    <w:rsid w:val="00E6220C"/>
    <w:rsid w:val="00E65AA9"/>
    <w:rsid w:val="00E66AFD"/>
    <w:rsid w:val="00E71582"/>
    <w:rsid w:val="00E7217B"/>
    <w:rsid w:val="00E8676D"/>
    <w:rsid w:val="00E86D9A"/>
    <w:rsid w:val="00E9248D"/>
    <w:rsid w:val="00EA5B58"/>
    <w:rsid w:val="00EB13F5"/>
    <w:rsid w:val="00EB18F2"/>
    <w:rsid w:val="00EB27EE"/>
    <w:rsid w:val="00EB54AD"/>
    <w:rsid w:val="00EB5634"/>
    <w:rsid w:val="00EB5C91"/>
    <w:rsid w:val="00EB6518"/>
    <w:rsid w:val="00EC24E7"/>
    <w:rsid w:val="00ED0A2C"/>
    <w:rsid w:val="00ED0F11"/>
    <w:rsid w:val="00ED67BD"/>
    <w:rsid w:val="00EE3829"/>
    <w:rsid w:val="00EE532A"/>
    <w:rsid w:val="00F03BE0"/>
    <w:rsid w:val="00F04705"/>
    <w:rsid w:val="00F10669"/>
    <w:rsid w:val="00F10A9A"/>
    <w:rsid w:val="00F156C5"/>
    <w:rsid w:val="00F16F2F"/>
    <w:rsid w:val="00F213E0"/>
    <w:rsid w:val="00F2268D"/>
    <w:rsid w:val="00F22B5F"/>
    <w:rsid w:val="00F251EA"/>
    <w:rsid w:val="00F317CF"/>
    <w:rsid w:val="00F363CC"/>
    <w:rsid w:val="00F37E42"/>
    <w:rsid w:val="00F40776"/>
    <w:rsid w:val="00F44DE7"/>
    <w:rsid w:val="00F45435"/>
    <w:rsid w:val="00F55B5D"/>
    <w:rsid w:val="00F55E96"/>
    <w:rsid w:val="00F63A79"/>
    <w:rsid w:val="00F70304"/>
    <w:rsid w:val="00F75335"/>
    <w:rsid w:val="00F82681"/>
    <w:rsid w:val="00F8579A"/>
    <w:rsid w:val="00F90C97"/>
    <w:rsid w:val="00F94199"/>
    <w:rsid w:val="00F95B74"/>
    <w:rsid w:val="00FA3FF0"/>
    <w:rsid w:val="00FA7116"/>
    <w:rsid w:val="00FC0ABE"/>
    <w:rsid w:val="00FC14BE"/>
    <w:rsid w:val="00FC483F"/>
    <w:rsid w:val="00FD03D7"/>
    <w:rsid w:val="00FD0588"/>
    <w:rsid w:val="00FD24B0"/>
    <w:rsid w:val="00FD7266"/>
    <w:rsid w:val="00FD7AF1"/>
    <w:rsid w:val="00FE13B6"/>
    <w:rsid w:val="00FE1795"/>
    <w:rsid w:val="00FE3477"/>
    <w:rsid w:val="00FE43E4"/>
    <w:rsid w:val="00FE4830"/>
    <w:rsid w:val="00FF3768"/>
    <w:rsid w:val="00FF43FF"/>
    <w:rsid w:val="00FF61D5"/>
    <w:rsid w:val="00FF6CFD"/>
  </w:rsids>
  <m:mathPr>
    <m:mathFont m:val="Cambria Math"/>
    <m:brkBin m:val="before"/>
    <m:brkBinSub m:val="--"/>
    <m:smallFrac/>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fr-FR" w:eastAsia="fr-FR"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504B97"/>
    <w:rPr>
      <w:rFonts w:ascii="Arial" w:hAnsi="Arial"/>
      <w:sz w:val="24"/>
      <w:szCs w:val="24"/>
      <w:lang w:val="en-US" w:eastAsia="en-US"/>
    </w:rPr>
  </w:style>
  <w:style w:type="paragraph" w:styleId="Titre1">
    <w:name w:val="heading 1"/>
    <w:aliases w:val="ECC Heading 1"/>
    <w:basedOn w:val="Normal"/>
    <w:next w:val="ECCParagraph"/>
    <w:link w:val="Titre1Car"/>
    <w:autoRedefine/>
    <w:uiPriority w:val="99"/>
    <w:qFormat/>
    <w:rsid w:val="00B75A92"/>
    <w:pPr>
      <w:keepNext/>
      <w:numPr>
        <w:numId w:val="41"/>
      </w:numPr>
      <w:spacing w:before="600" w:after="240"/>
      <w:outlineLvl w:val="0"/>
    </w:pPr>
    <w:rPr>
      <w:b/>
      <w:bCs/>
      <w:caps/>
      <w:color w:val="D2232A"/>
      <w:kern w:val="32"/>
      <w:sz w:val="20"/>
      <w:szCs w:val="20"/>
      <w:lang w:val="en-GB" w:eastAsia="fr-FR"/>
    </w:rPr>
  </w:style>
  <w:style w:type="paragraph" w:styleId="Titre2">
    <w:name w:val="heading 2"/>
    <w:aliases w:val="ECC Heading 2"/>
    <w:basedOn w:val="Normal"/>
    <w:next w:val="ECCParagraph"/>
    <w:link w:val="Titre2Car"/>
    <w:autoRedefine/>
    <w:uiPriority w:val="99"/>
    <w:qFormat/>
    <w:rsid w:val="00621387"/>
    <w:pPr>
      <w:keepNext/>
      <w:spacing w:before="480" w:after="240"/>
      <w:outlineLvl w:val="1"/>
    </w:pPr>
    <w:rPr>
      <w:b/>
      <w:bCs/>
      <w:iCs/>
      <w:caps/>
      <w:sz w:val="20"/>
      <w:szCs w:val="20"/>
      <w:lang w:val="en-GB" w:eastAsia="fr-FR"/>
    </w:rPr>
  </w:style>
  <w:style w:type="paragraph" w:styleId="Titre3">
    <w:name w:val="heading 3"/>
    <w:aliases w:val="ECC Heading 3"/>
    <w:basedOn w:val="Normal"/>
    <w:next w:val="ECCParagraph"/>
    <w:link w:val="Titre3Car"/>
    <w:autoRedefine/>
    <w:uiPriority w:val="99"/>
    <w:qFormat/>
    <w:rsid w:val="00621387"/>
    <w:pPr>
      <w:keepNext/>
      <w:spacing w:before="360" w:after="120"/>
      <w:outlineLvl w:val="2"/>
    </w:pPr>
    <w:rPr>
      <w:rFonts w:cs="Arial"/>
      <w:b/>
      <w:bCs/>
      <w:szCs w:val="26"/>
    </w:rPr>
  </w:style>
  <w:style w:type="paragraph" w:styleId="Titre4">
    <w:name w:val="heading 4"/>
    <w:aliases w:val="ECC Heading 4"/>
    <w:basedOn w:val="Normal"/>
    <w:next w:val="ECCParagraph"/>
    <w:link w:val="Titre4Car"/>
    <w:autoRedefine/>
    <w:uiPriority w:val="99"/>
    <w:qFormat/>
    <w:rsid w:val="00504B97"/>
    <w:pPr>
      <w:numPr>
        <w:ilvl w:val="3"/>
        <w:numId w:val="41"/>
      </w:numPr>
      <w:spacing w:before="360" w:after="120"/>
      <w:outlineLvl w:val="3"/>
    </w:pPr>
    <w:rPr>
      <w:rFonts w:cs="Arial"/>
      <w:bCs/>
      <w:i/>
      <w:color w:val="D2232A"/>
      <w:szCs w:val="26"/>
    </w:rPr>
  </w:style>
  <w:style w:type="paragraph" w:styleId="Titre5">
    <w:name w:val="heading 5"/>
    <w:basedOn w:val="Normal"/>
    <w:next w:val="Normal"/>
    <w:link w:val="Titre5Car"/>
    <w:uiPriority w:val="99"/>
    <w:qFormat/>
    <w:rsid w:val="0023167B"/>
    <w:pPr>
      <w:numPr>
        <w:ilvl w:val="4"/>
        <w:numId w:val="41"/>
      </w:numPr>
      <w:spacing w:before="240" w:after="60"/>
      <w:outlineLvl w:val="4"/>
    </w:pPr>
    <w:rPr>
      <w:b/>
      <w:bCs/>
      <w:i/>
      <w:iCs/>
      <w:sz w:val="26"/>
      <w:szCs w:val="26"/>
    </w:rPr>
  </w:style>
  <w:style w:type="paragraph" w:styleId="Titre6">
    <w:name w:val="heading 6"/>
    <w:basedOn w:val="Normal"/>
    <w:next w:val="Normal"/>
    <w:link w:val="Titre6Car"/>
    <w:uiPriority w:val="99"/>
    <w:qFormat/>
    <w:rsid w:val="0023167B"/>
    <w:pPr>
      <w:numPr>
        <w:ilvl w:val="5"/>
        <w:numId w:val="41"/>
      </w:numPr>
      <w:spacing w:before="240" w:after="60"/>
      <w:outlineLvl w:val="5"/>
    </w:pPr>
    <w:rPr>
      <w:b/>
      <w:bCs/>
      <w:sz w:val="22"/>
      <w:szCs w:val="22"/>
    </w:rPr>
  </w:style>
  <w:style w:type="paragraph" w:styleId="Titre7">
    <w:name w:val="heading 7"/>
    <w:basedOn w:val="Normal"/>
    <w:next w:val="Normal"/>
    <w:link w:val="Titre7Car"/>
    <w:uiPriority w:val="99"/>
    <w:qFormat/>
    <w:rsid w:val="0023167B"/>
    <w:pPr>
      <w:numPr>
        <w:ilvl w:val="6"/>
        <w:numId w:val="41"/>
      </w:numPr>
      <w:spacing w:before="240" w:after="60"/>
      <w:outlineLvl w:val="6"/>
    </w:pPr>
  </w:style>
  <w:style w:type="paragraph" w:styleId="Titre8">
    <w:name w:val="heading 8"/>
    <w:basedOn w:val="Normal"/>
    <w:next w:val="Normal"/>
    <w:link w:val="Titre8Car"/>
    <w:uiPriority w:val="99"/>
    <w:qFormat/>
    <w:rsid w:val="0023167B"/>
    <w:pPr>
      <w:numPr>
        <w:ilvl w:val="7"/>
        <w:numId w:val="41"/>
      </w:numPr>
      <w:spacing w:before="240" w:after="60"/>
      <w:outlineLvl w:val="7"/>
    </w:pPr>
    <w:rPr>
      <w:i/>
      <w:iCs/>
    </w:rPr>
  </w:style>
  <w:style w:type="paragraph" w:styleId="Titre9">
    <w:name w:val="heading 9"/>
    <w:basedOn w:val="Normal"/>
    <w:next w:val="Normal"/>
    <w:link w:val="Titre9Car"/>
    <w:uiPriority w:val="99"/>
    <w:qFormat/>
    <w:rsid w:val="0023167B"/>
    <w:pPr>
      <w:numPr>
        <w:ilvl w:val="8"/>
        <w:numId w:val="41"/>
      </w:numPr>
      <w:spacing w:before="240" w:after="60"/>
      <w:outlineLvl w:val="8"/>
    </w:pPr>
    <w:rPr>
      <w:rFonts w:cs="Arial"/>
      <w:sz w:val="22"/>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aliases w:val="ECC Heading 1 Car"/>
    <w:basedOn w:val="Policepardfaut"/>
    <w:link w:val="Titre1"/>
    <w:uiPriority w:val="99"/>
    <w:locked/>
    <w:rsid w:val="00B75A92"/>
    <w:rPr>
      <w:rFonts w:ascii="Arial" w:hAnsi="Arial" w:cs="Times New Roman"/>
      <w:b/>
      <w:bCs/>
      <w:caps/>
      <w:color w:val="D2232A"/>
      <w:kern w:val="32"/>
      <w:sz w:val="20"/>
      <w:szCs w:val="20"/>
      <w:lang w:val="en-GB"/>
    </w:rPr>
  </w:style>
  <w:style w:type="character" w:customStyle="1" w:styleId="Titre2Car">
    <w:name w:val="Titre 2 Car"/>
    <w:aliases w:val="ECC Heading 2 Car"/>
    <w:basedOn w:val="Policepardfaut"/>
    <w:link w:val="Titre2"/>
    <w:uiPriority w:val="99"/>
    <w:locked/>
    <w:rsid w:val="00621387"/>
    <w:rPr>
      <w:rFonts w:ascii="Arial" w:hAnsi="Arial"/>
      <w:b/>
      <w:bCs/>
      <w:iCs/>
      <w:caps/>
      <w:sz w:val="20"/>
      <w:szCs w:val="20"/>
      <w:lang w:val="en-GB"/>
    </w:rPr>
  </w:style>
  <w:style w:type="character" w:customStyle="1" w:styleId="Titre3Car">
    <w:name w:val="Titre 3 Car"/>
    <w:aliases w:val="ECC Heading 3 Car"/>
    <w:basedOn w:val="Policepardfaut"/>
    <w:link w:val="Titre3"/>
    <w:uiPriority w:val="99"/>
    <w:locked/>
    <w:rsid w:val="00621387"/>
    <w:rPr>
      <w:rFonts w:ascii="Arial" w:hAnsi="Arial" w:cs="Arial"/>
      <w:b/>
      <w:bCs/>
      <w:sz w:val="24"/>
      <w:szCs w:val="26"/>
      <w:lang w:val="en-US" w:eastAsia="en-US"/>
    </w:rPr>
  </w:style>
  <w:style w:type="character" w:customStyle="1" w:styleId="Titre4Car">
    <w:name w:val="Titre 4 Car"/>
    <w:aliases w:val="ECC Heading 4 Car"/>
    <w:basedOn w:val="Policepardfaut"/>
    <w:link w:val="Titre4"/>
    <w:uiPriority w:val="99"/>
    <w:semiHidden/>
    <w:locked/>
    <w:rsid w:val="000C27AC"/>
    <w:rPr>
      <w:rFonts w:ascii="Calibri" w:eastAsia="MS ??" w:hAnsi="Calibri" w:cs="Times New Roman"/>
      <w:b/>
      <w:bCs/>
      <w:sz w:val="28"/>
      <w:szCs w:val="28"/>
      <w:lang w:val="en-US" w:eastAsia="en-US"/>
    </w:rPr>
  </w:style>
  <w:style w:type="character" w:customStyle="1" w:styleId="Titre5Car">
    <w:name w:val="Titre 5 Car"/>
    <w:basedOn w:val="Policepardfaut"/>
    <w:link w:val="Titre5"/>
    <w:uiPriority w:val="99"/>
    <w:semiHidden/>
    <w:locked/>
    <w:rsid w:val="000C27AC"/>
    <w:rPr>
      <w:rFonts w:ascii="Calibri" w:eastAsia="MS ??" w:hAnsi="Calibri" w:cs="Times New Roman"/>
      <w:b/>
      <w:bCs/>
      <w:i/>
      <w:iCs/>
      <w:sz w:val="26"/>
      <w:szCs w:val="26"/>
      <w:lang w:val="en-US" w:eastAsia="en-US"/>
    </w:rPr>
  </w:style>
  <w:style w:type="character" w:customStyle="1" w:styleId="Titre6Car">
    <w:name w:val="Titre 6 Car"/>
    <w:basedOn w:val="Policepardfaut"/>
    <w:link w:val="Titre6"/>
    <w:uiPriority w:val="99"/>
    <w:semiHidden/>
    <w:locked/>
    <w:rsid w:val="000C27AC"/>
    <w:rPr>
      <w:rFonts w:ascii="Calibri" w:eastAsia="MS ??" w:hAnsi="Calibri" w:cs="Times New Roman"/>
      <w:b/>
      <w:bCs/>
      <w:lang w:val="en-US" w:eastAsia="en-US"/>
    </w:rPr>
  </w:style>
  <w:style w:type="character" w:customStyle="1" w:styleId="Titre7Car">
    <w:name w:val="Titre 7 Car"/>
    <w:basedOn w:val="Policepardfaut"/>
    <w:link w:val="Titre7"/>
    <w:uiPriority w:val="99"/>
    <w:semiHidden/>
    <w:locked/>
    <w:rsid w:val="000C27AC"/>
    <w:rPr>
      <w:rFonts w:ascii="Calibri" w:eastAsia="MS ??" w:hAnsi="Calibri" w:cs="Times New Roman"/>
      <w:sz w:val="24"/>
      <w:szCs w:val="24"/>
      <w:lang w:val="en-US" w:eastAsia="en-US"/>
    </w:rPr>
  </w:style>
  <w:style w:type="character" w:customStyle="1" w:styleId="Titre8Car">
    <w:name w:val="Titre 8 Car"/>
    <w:basedOn w:val="Policepardfaut"/>
    <w:link w:val="Titre8"/>
    <w:uiPriority w:val="99"/>
    <w:semiHidden/>
    <w:locked/>
    <w:rsid w:val="000C27AC"/>
    <w:rPr>
      <w:rFonts w:ascii="Calibri" w:eastAsia="MS ??" w:hAnsi="Calibri" w:cs="Times New Roman"/>
      <w:i/>
      <w:iCs/>
      <w:sz w:val="24"/>
      <w:szCs w:val="24"/>
      <w:lang w:val="en-US" w:eastAsia="en-US"/>
    </w:rPr>
  </w:style>
  <w:style w:type="character" w:customStyle="1" w:styleId="Titre9Car">
    <w:name w:val="Titre 9 Car"/>
    <w:basedOn w:val="Policepardfaut"/>
    <w:link w:val="Titre9"/>
    <w:uiPriority w:val="99"/>
    <w:semiHidden/>
    <w:locked/>
    <w:rsid w:val="000C27AC"/>
    <w:rPr>
      <w:rFonts w:ascii="Cambria" w:eastAsia="MS ????" w:hAnsi="Cambria" w:cs="Times New Roman"/>
      <w:lang w:val="en-US" w:eastAsia="en-US"/>
    </w:rPr>
  </w:style>
  <w:style w:type="paragraph" w:customStyle="1" w:styleId="ECCParagraph">
    <w:name w:val="ECC Paragraph"/>
    <w:basedOn w:val="Normal"/>
    <w:uiPriority w:val="99"/>
    <w:rsid w:val="00504B97"/>
    <w:pPr>
      <w:spacing w:after="240"/>
      <w:jc w:val="both"/>
    </w:pPr>
    <w:rPr>
      <w:lang w:val="en-GB"/>
    </w:rPr>
  </w:style>
  <w:style w:type="paragraph" w:customStyle="1" w:styleId="ECCParBulleted">
    <w:name w:val="ECC Par Bulleted"/>
    <w:basedOn w:val="ECCParagraph"/>
    <w:uiPriority w:val="99"/>
    <w:rsid w:val="00504B97"/>
    <w:pPr>
      <w:spacing w:after="0"/>
    </w:pPr>
  </w:style>
  <w:style w:type="paragraph" w:styleId="En-tte">
    <w:name w:val="header"/>
    <w:basedOn w:val="Normal"/>
    <w:link w:val="En-tteCar"/>
    <w:uiPriority w:val="99"/>
    <w:semiHidden/>
    <w:rsid w:val="0023167B"/>
    <w:pPr>
      <w:tabs>
        <w:tab w:val="center" w:pos="4320"/>
        <w:tab w:val="right" w:pos="8640"/>
      </w:tabs>
    </w:pPr>
    <w:rPr>
      <w:b/>
      <w:sz w:val="16"/>
    </w:rPr>
  </w:style>
  <w:style w:type="character" w:customStyle="1" w:styleId="En-tteCar">
    <w:name w:val="En-tête Car"/>
    <w:basedOn w:val="Policepardfaut"/>
    <w:link w:val="En-tte"/>
    <w:uiPriority w:val="99"/>
    <w:semiHidden/>
    <w:locked/>
    <w:rsid w:val="000C27AC"/>
    <w:rPr>
      <w:rFonts w:ascii="Arial" w:hAnsi="Arial" w:cs="Times New Roman"/>
      <w:sz w:val="24"/>
      <w:szCs w:val="24"/>
      <w:lang w:val="en-US" w:eastAsia="en-US"/>
    </w:rPr>
  </w:style>
  <w:style w:type="paragraph" w:styleId="Pieddepage">
    <w:name w:val="footer"/>
    <w:basedOn w:val="Normal"/>
    <w:link w:val="PieddepageCar"/>
    <w:uiPriority w:val="99"/>
    <w:semiHidden/>
    <w:rsid w:val="00504B97"/>
    <w:pPr>
      <w:tabs>
        <w:tab w:val="center" w:pos="4320"/>
        <w:tab w:val="right" w:pos="8640"/>
      </w:tabs>
    </w:pPr>
  </w:style>
  <w:style w:type="character" w:customStyle="1" w:styleId="PieddepageCar">
    <w:name w:val="Pied de page Car"/>
    <w:basedOn w:val="Policepardfaut"/>
    <w:link w:val="Pieddepage"/>
    <w:uiPriority w:val="99"/>
    <w:semiHidden/>
    <w:locked/>
    <w:rsid w:val="000C27AC"/>
    <w:rPr>
      <w:rFonts w:ascii="Arial" w:hAnsi="Arial" w:cs="Times New Roman"/>
      <w:sz w:val="24"/>
      <w:szCs w:val="24"/>
      <w:lang w:val="en-US" w:eastAsia="en-US"/>
    </w:rPr>
  </w:style>
  <w:style w:type="paragraph" w:customStyle="1" w:styleId="ECCAnnex-heading1">
    <w:name w:val="ECC Annex - heading1"/>
    <w:basedOn w:val="Titre1"/>
    <w:next w:val="ECCParagraph"/>
    <w:uiPriority w:val="99"/>
    <w:rsid w:val="00504B97"/>
    <w:pPr>
      <w:numPr>
        <w:numId w:val="5"/>
      </w:numPr>
      <w:ind w:left="0" w:firstLine="0"/>
    </w:pPr>
    <w:rPr>
      <w:b w:val="0"/>
    </w:rPr>
  </w:style>
  <w:style w:type="paragraph" w:styleId="TM1">
    <w:name w:val="toc 1"/>
    <w:basedOn w:val="Normal"/>
    <w:next w:val="Normal"/>
    <w:autoRedefine/>
    <w:uiPriority w:val="99"/>
    <w:rsid w:val="00504B97"/>
    <w:pPr>
      <w:tabs>
        <w:tab w:val="left" w:pos="360"/>
        <w:tab w:val="right" w:leader="dot" w:pos="9629"/>
      </w:tabs>
      <w:spacing w:before="240"/>
    </w:pPr>
    <w:rPr>
      <w:b/>
      <w:caps/>
    </w:rPr>
  </w:style>
  <w:style w:type="character" w:styleId="Lienhypertexte">
    <w:name w:val="Hyperlink"/>
    <w:basedOn w:val="Policepardfaut"/>
    <w:uiPriority w:val="99"/>
    <w:rsid w:val="0023167B"/>
    <w:rPr>
      <w:rFonts w:cs="Times New Roman"/>
      <w:color w:val="0000FF"/>
      <w:u w:val="single"/>
    </w:rPr>
  </w:style>
  <w:style w:type="paragraph" w:styleId="TM2">
    <w:name w:val="toc 2"/>
    <w:basedOn w:val="Normal"/>
    <w:next w:val="Normal"/>
    <w:autoRedefine/>
    <w:uiPriority w:val="99"/>
    <w:rsid w:val="00504B97"/>
    <w:pPr>
      <w:tabs>
        <w:tab w:val="left" w:pos="900"/>
        <w:tab w:val="right" w:leader="dot" w:pos="9629"/>
      </w:tabs>
      <w:ind w:left="360"/>
    </w:pPr>
  </w:style>
  <w:style w:type="paragraph" w:styleId="TM3">
    <w:name w:val="toc 3"/>
    <w:basedOn w:val="Normal"/>
    <w:next w:val="Normal"/>
    <w:autoRedefine/>
    <w:uiPriority w:val="99"/>
    <w:rsid w:val="00504B97"/>
    <w:pPr>
      <w:tabs>
        <w:tab w:val="left" w:pos="1440"/>
        <w:tab w:val="right" w:leader="dot" w:pos="9629"/>
      </w:tabs>
      <w:ind w:left="900"/>
    </w:pPr>
  </w:style>
  <w:style w:type="paragraph" w:styleId="TM4">
    <w:name w:val="toc 4"/>
    <w:basedOn w:val="Normal"/>
    <w:next w:val="Normal"/>
    <w:autoRedefine/>
    <w:uiPriority w:val="99"/>
    <w:rsid w:val="00504B97"/>
    <w:pPr>
      <w:tabs>
        <w:tab w:val="left" w:pos="2340"/>
        <w:tab w:val="right" w:leader="dot" w:pos="9629"/>
      </w:tabs>
      <w:ind w:left="1440"/>
    </w:pPr>
    <w:rPr>
      <w:i/>
    </w:rPr>
  </w:style>
  <w:style w:type="table" w:styleId="Grilledutableau">
    <w:name w:val="Table Grid"/>
    <w:basedOn w:val="TableauNormal"/>
    <w:uiPriority w:val="99"/>
    <w:rsid w:val="0023167B"/>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CCFiguretitle">
    <w:name w:val="ECC Figure title"/>
    <w:basedOn w:val="ECCParagraph"/>
    <w:next w:val="ECCParagraph"/>
    <w:uiPriority w:val="99"/>
    <w:rsid w:val="00504B97"/>
    <w:pPr>
      <w:numPr>
        <w:numId w:val="4"/>
      </w:numPr>
      <w:spacing w:before="240" w:after="480"/>
      <w:jc w:val="center"/>
    </w:pPr>
    <w:rPr>
      <w:b/>
      <w:color w:val="D2232A"/>
    </w:rPr>
  </w:style>
  <w:style w:type="paragraph" w:customStyle="1" w:styleId="ECCTabletitle">
    <w:name w:val="ECC Table title"/>
    <w:basedOn w:val="ECCFiguretitle"/>
    <w:next w:val="ECCParagraph"/>
    <w:autoRedefine/>
    <w:uiPriority w:val="99"/>
    <w:rsid w:val="00504B97"/>
    <w:pPr>
      <w:numPr>
        <w:numId w:val="3"/>
      </w:numPr>
      <w:spacing w:before="360" w:after="240"/>
    </w:pPr>
  </w:style>
  <w:style w:type="paragraph" w:customStyle="1" w:styleId="ECCFootnote">
    <w:name w:val="ECC Footnote"/>
    <w:basedOn w:val="Normal"/>
    <w:autoRedefine/>
    <w:uiPriority w:val="99"/>
    <w:rsid w:val="0023167B"/>
    <w:pPr>
      <w:ind w:left="454" w:hanging="454"/>
    </w:pPr>
    <w:rPr>
      <w:sz w:val="16"/>
    </w:rPr>
  </w:style>
  <w:style w:type="paragraph" w:styleId="Notedebasdepage">
    <w:name w:val="footnote text"/>
    <w:basedOn w:val="Normal"/>
    <w:link w:val="NotedebasdepageCar"/>
    <w:uiPriority w:val="99"/>
    <w:rsid w:val="00504B97"/>
    <w:rPr>
      <w:sz w:val="20"/>
      <w:szCs w:val="20"/>
      <w:lang w:val="fr-FR" w:eastAsia="fr-FR"/>
    </w:rPr>
  </w:style>
  <w:style w:type="character" w:customStyle="1" w:styleId="NotedebasdepageCar">
    <w:name w:val="Note de bas de page Car"/>
    <w:basedOn w:val="Policepardfaut"/>
    <w:link w:val="Notedebasdepage"/>
    <w:uiPriority w:val="99"/>
    <w:locked/>
    <w:rsid w:val="00A344AB"/>
    <w:rPr>
      <w:rFonts w:ascii="Arial" w:hAnsi="Arial" w:cs="Times New Roman"/>
      <w:sz w:val="20"/>
    </w:rPr>
  </w:style>
  <w:style w:type="character" w:styleId="Appelnotedebasdep">
    <w:name w:val="footnote reference"/>
    <w:basedOn w:val="Policepardfaut"/>
    <w:uiPriority w:val="99"/>
    <w:rsid w:val="0023167B"/>
    <w:rPr>
      <w:rFonts w:cs="Times New Roman"/>
      <w:vertAlign w:val="superscript"/>
    </w:rPr>
  </w:style>
  <w:style w:type="paragraph" w:customStyle="1" w:styleId="Text">
    <w:name w:val="Text"/>
    <w:basedOn w:val="Normal"/>
    <w:uiPriority w:val="99"/>
    <w:rsid w:val="00504B97"/>
    <w:pPr>
      <w:widowControl w:val="0"/>
      <w:autoSpaceDE w:val="0"/>
      <w:autoSpaceDN w:val="0"/>
      <w:spacing w:line="252" w:lineRule="auto"/>
      <w:ind w:firstLine="202"/>
      <w:jc w:val="both"/>
    </w:pPr>
    <w:rPr>
      <w:szCs w:val="20"/>
    </w:rPr>
  </w:style>
  <w:style w:type="paragraph" w:customStyle="1" w:styleId="ECCTablenote">
    <w:name w:val="ECC Table note"/>
    <w:basedOn w:val="ECCParagraph"/>
    <w:next w:val="ECCParagraph"/>
    <w:autoRedefine/>
    <w:uiPriority w:val="99"/>
    <w:rsid w:val="0023167B"/>
    <w:pPr>
      <w:spacing w:after="0"/>
      <w:ind w:left="284" w:hanging="284"/>
    </w:pPr>
    <w:rPr>
      <w:sz w:val="16"/>
      <w:szCs w:val="16"/>
    </w:rPr>
  </w:style>
  <w:style w:type="paragraph" w:customStyle="1" w:styleId="reference">
    <w:name w:val="reference"/>
    <w:basedOn w:val="Normal"/>
    <w:uiPriority w:val="99"/>
    <w:rsid w:val="00504B97"/>
    <w:pPr>
      <w:numPr>
        <w:numId w:val="6"/>
      </w:numPr>
    </w:pPr>
    <w:rPr>
      <w:lang w:eastAsia="ja-JP"/>
    </w:rPr>
  </w:style>
  <w:style w:type="paragraph" w:customStyle="1" w:styleId="ECCAnnexheading2">
    <w:name w:val="ECC Annex heading2"/>
    <w:basedOn w:val="Normal"/>
    <w:next w:val="ECCParagraph"/>
    <w:uiPriority w:val="99"/>
    <w:rsid w:val="00504B97"/>
    <w:pPr>
      <w:numPr>
        <w:ilvl w:val="1"/>
        <w:numId w:val="5"/>
      </w:numPr>
      <w:overflowPunct w:val="0"/>
      <w:autoSpaceDE w:val="0"/>
      <w:autoSpaceDN w:val="0"/>
      <w:adjustRightInd w:val="0"/>
      <w:spacing w:before="480" w:after="240"/>
      <w:textAlignment w:val="baseline"/>
    </w:pPr>
    <w:rPr>
      <w:b/>
      <w:caps/>
    </w:rPr>
  </w:style>
  <w:style w:type="paragraph" w:customStyle="1" w:styleId="ECCAnnexheading3">
    <w:name w:val="ECC Annex heading3"/>
    <w:basedOn w:val="Normal"/>
    <w:next w:val="ECCParagraph"/>
    <w:uiPriority w:val="99"/>
    <w:rsid w:val="00504B97"/>
    <w:pPr>
      <w:numPr>
        <w:ilvl w:val="2"/>
        <w:numId w:val="5"/>
      </w:numPr>
      <w:overflowPunct w:val="0"/>
      <w:autoSpaceDE w:val="0"/>
      <w:autoSpaceDN w:val="0"/>
      <w:adjustRightInd w:val="0"/>
      <w:spacing w:before="360" w:after="120"/>
      <w:textAlignment w:val="baseline"/>
    </w:pPr>
    <w:rPr>
      <w:b/>
    </w:rPr>
  </w:style>
  <w:style w:type="paragraph" w:customStyle="1" w:styleId="ECCAnnexheading4">
    <w:name w:val="ECC Annex heading4"/>
    <w:basedOn w:val="Normal"/>
    <w:next w:val="ECCParagraph"/>
    <w:uiPriority w:val="99"/>
    <w:rsid w:val="00504B97"/>
    <w:pPr>
      <w:numPr>
        <w:ilvl w:val="3"/>
        <w:numId w:val="5"/>
      </w:numPr>
      <w:overflowPunct w:val="0"/>
      <w:autoSpaceDE w:val="0"/>
      <w:autoSpaceDN w:val="0"/>
      <w:adjustRightInd w:val="0"/>
      <w:spacing w:before="360" w:after="120"/>
      <w:textAlignment w:val="baseline"/>
    </w:pPr>
    <w:rPr>
      <w:i/>
      <w:color w:val="D2232A"/>
    </w:rPr>
  </w:style>
  <w:style w:type="paragraph" w:customStyle="1" w:styleId="Lastupdated">
    <w:name w:val="Last updated"/>
    <w:basedOn w:val="Normal"/>
    <w:uiPriority w:val="99"/>
    <w:rsid w:val="0023167B"/>
    <w:pPr>
      <w:spacing w:before="120" w:after="120"/>
      <w:ind w:left="3402"/>
    </w:pPr>
    <w:rPr>
      <w:bCs/>
      <w:sz w:val="18"/>
    </w:rPr>
  </w:style>
  <w:style w:type="paragraph" w:customStyle="1" w:styleId="Reporttitledescription">
    <w:name w:val="Report title/description"/>
    <w:basedOn w:val="Normal"/>
    <w:uiPriority w:val="99"/>
    <w:rsid w:val="0023167B"/>
    <w:pPr>
      <w:spacing w:before="600" w:line="288" w:lineRule="auto"/>
      <w:ind w:left="3402"/>
    </w:pPr>
  </w:style>
  <w:style w:type="paragraph" w:styleId="Paragraphedeliste">
    <w:name w:val="List Paragraph"/>
    <w:basedOn w:val="Normal"/>
    <w:uiPriority w:val="99"/>
    <w:qFormat/>
    <w:rsid w:val="00964373"/>
    <w:pPr>
      <w:overflowPunct w:val="0"/>
      <w:autoSpaceDE w:val="0"/>
      <w:autoSpaceDN w:val="0"/>
      <w:adjustRightInd w:val="0"/>
      <w:ind w:left="720"/>
      <w:contextualSpacing/>
      <w:textAlignment w:val="baseline"/>
    </w:pPr>
    <w:rPr>
      <w:rFonts w:ascii="Times" w:eastAsia="MS ??" w:hAnsi="Times"/>
      <w:szCs w:val="20"/>
      <w:lang w:val="nb-NO" w:eastAsia="de-DE"/>
    </w:rPr>
  </w:style>
  <w:style w:type="paragraph" w:styleId="Lgende">
    <w:name w:val="caption"/>
    <w:basedOn w:val="Normal"/>
    <w:next w:val="Normal"/>
    <w:uiPriority w:val="99"/>
    <w:qFormat/>
    <w:rsid w:val="00504B97"/>
    <w:rPr>
      <w:b/>
      <w:bCs/>
      <w:szCs w:val="20"/>
    </w:rPr>
  </w:style>
  <w:style w:type="paragraph" w:styleId="Textedebulles">
    <w:name w:val="Balloon Text"/>
    <w:basedOn w:val="Normal"/>
    <w:link w:val="TextedebullesCar"/>
    <w:uiPriority w:val="99"/>
    <w:semiHidden/>
    <w:rsid w:val="00E12BE6"/>
    <w:rPr>
      <w:rFonts w:ascii="Lucida Grande" w:hAnsi="Lucida Grande" w:cs="Lucida Grande"/>
      <w:sz w:val="18"/>
      <w:szCs w:val="18"/>
    </w:rPr>
  </w:style>
  <w:style w:type="character" w:customStyle="1" w:styleId="TextedebullesCar">
    <w:name w:val="Texte de bulles Car"/>
    <w:basedOn w:val="Policepardfaut"/>
    <w:link w:val="Textedebulles"/>
    <w:uiPriority w:val="99"/>
    <w:semiHidden/>
    <w:locked/>
    <w:rsid w:val="00E12BE6"/>
    <w:rPr>
      <w:rFonts w:ascii="Lucida Grande" w:hAnsi="Lucida Grande" w:cs="Lucida Grande"/>
      <w:sz w:val="18"/>
      <w:szCs w:val="18"/>
    </w:rPr>
  </w:style>
  <w:style w:type="paragraph" w:customStyle="1" w:styleId="enumlev1">
    <w:name w:val="enumlev1"/>
    <w:basedOn w:val="Normal"/>
    <w:uiPriority w:val="99"/>
    <w:rsid w:val="004F12C0"/>
    <w:pPr>
      <w:tabs>
        <w:tab w:val="left" w:pos="1134"/>
        <w:tab w:val="left" w:pos="1871"/>
        <w:tab w:val="left" w:pos="2608"/>
        <w:tab w:val="left" w:pos="3345"/>
      </w:tabs>
      <w:overflowPunct w:val="0"/>
      <w:autoSpaceDE w:val="0"/>
      <w:autoSpaceDN w:val="0"/>
      <w:adjustRightInd w:val="0"/>
      <w:spacing w:before="80"/>
      <w:ind w:left="1134" w:hanging="1134"/>
      <w:textAlignment w:val="baseline"/>
    </w:pPr>
    <w:rPr>
      <w:rFonts w:ascii="Times New Roman" w:hAnsi="Times New Roman"/>
      <w:szCs w:val="20"/>
      <w:lang w:val="en-GB"/>
    </w:rPr>
  </w:style>
  <w:style w:type="character" w:styleId="Marquedecommentaire">
    <w:name w:val="annotation reference"/>
    <w:basedOn w:val="Policepardfaut"/>
    <w:uiPriority w:val="99"/>
    <w:semiHidden/>
    <w:rsid w:val="00C0424A"/>
    <w:rPr>
      <w:rFonts w:cs="Times New Roman"/>
      <w:sz w:val="16"/>
      <w:szCs w:val="16"/>
    </w:rPr>
  </w:style>
  <w:style w:type="paragraph" w:styleId="Commentaire">
    <w:name w:val="annotation text"/>
    <w:basedOn w:val="Normal"/>
    <w:link w:val="CommentaireCar"/>
    <w:uiPriority w:val="99"/>
    <w:semiHidden/>
    <w:rsid w:val="00DB30C2"/>
    <w:rPr>
      <w:szCs w:val="20"/>
    </w:rPr>
  </w:style>
  <w:style w:type="character" w:customStyle="1" w:styleId="CommentaireCar">
    <w:name w:val="Commentaire Car"/>
    <w:basedOn w:val="Policepardfaut"/>
    <w:link w:val="Commentaire"/>
    <w:uiPriority w:val="99"/>
    <w:semiHidden/>
    <w:locked/>
    <w:rsid w:val="00DB30C2"/>
    <w:rPr>
      <w:rFonts w:ascii="Arial" w:hAnsi="Arial" w:cs="Times New Roman"/>
    </w:rPr>
  </w:style>
  <w:style w:type="paragraph" w:styleId="Objetducommentaire">
    <w:name w:val="annotation subject"/>
    <w:basedOn w:val="Commentaire"/>
    <w:next w:val="Commentaire"/>
    <w:link w:val="ObjetducommentaireCar"/>
    <w:uiPriority w:val="99"/>
    <w:semiHidden/>
    <w:rsid w:val="00C0424A"/>
    <w:rPr>
      <w:b/>
      <w:bCs/>
    </w:rPr>
  </w:style>
  <w:style w:type="character" w:customStyle="1" w:styleId="ObjetducommentaireCar">
    <w:name w:val="Objet du commentaire Car"/>
    <w:basedOn w:val="CommentaireCar"/>
    <w:link w:val="Objetducommentaire"/>
    <w:uiPriority w:val="99"/>
    <w:semiHidden/>
    <w:locked/>
    <w:rsid w:val="00DB30C2"/>
    <w:rPr>
      <w:rFonts w:ascii="Arial" w:hAnsi="Arial" w:cs="Times New Roman"/>
      <w:b/>
      <w:bCs/>
      <w:sz w:val="20"/>
      <w:szCs w:val="20"/>
    </w:rPr>
  </w:style>
  <w:style w:type="paragraph" w:styleId="Rvision">
    <w:name w:val="Revision"/>
    <w:hidden/>
    <w:uiPriority w:val="99"/>
    <w:semiHidden/>
    <w:rsid w:val="00504B97"/>
    <w:rPr>
      <w:rFonts w:ascii="Arial" w:hAnsi="Arial"/>
      <w:sz w:val="24"/>
      <w:szCs w:val="24"/>
      <w:lang w:val="en-US" w:eastAsia="en-US"/>
    </w:rPr>
  </w:style>
  <w:style w:type="paragraph" w:styleId="Explorateurdedocuments">
    <w:name w:val="Document Map"/>
    <w:basedOn w:val="Normal"/>
    <w:link w:val="ExplorateurdedocumentsCar"/>
    <w:uiPriority w:val="99"/>
    <w:semiHidden/>
    <w:rsid w:val="00C0424A"/>
    <w:rPr>
      <w:rFonts w:ascii="Lucida Grande" w:hAnsi="Lucida Grande" w:cs="Lucida Grande"/>
    </w:rPr>
  </w:style>
  <w:style w:type="character" w:customStyle="1" w:styleId="ExplorateurdedocumentsCar">
    <w:name w:val="Explorateur de documents Car"/>
    <w:basedOn w:val="Policepardfaut"/>
    <w:link w:val="Explorateurdedocuments"/>
    <w:uiPriority w:val="99"/>
    <w:semiHidden/>
    <w:locked/>
    <w:rsid w:val="00C0424A"/>
    <w:rPr>
      <w:rFonts w:ascii="Lucida Grande" w:hAnsi="Lucida Grande" w:cs="Lucida Grande"/>
    </w:rPr>
  </w:style>
  <w:style w:type="character" w:styleId="Numrodepage">
    <w:name w:val="page number"/>
    <w:locked/>
    <w:rsid w:val="006141BB"/>
    <w:rPr>
      <w:rFonts w:cs="Times New Roman"/>
    </w:rPr>
  </w:style>
  <w:style w:type="paragraph" w:customStyle="1" w:styleId="NumberedList">
    <w:name w:val="Numbered List"/>
    <w:basedOn w:val="ECCParagraph"/>
    <w:rsid w:val="006141BB"/>
    <w:pPr>
      <w:numPr>
        <w:numId w:val="51"/>
      </w:numPr>
    </w:pPr>
    <w:rPr>
      <w:sz w:val="20"/>
    </w:rPr>
  </w:style>
  <w:style w:type="numbering" w:customStyle="1" w:styleId="ECCNumberedList">
    <w:name w:val="ECC Numbered List"/>
    <w:uiPriority w:val="99"/>
    <w:rsid w:val="006141BB"/>
    <w:pPr>
      <w:numPr>
        <w:numId w:val="52"/>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fr-FR" w:eastAsia="fr-FR"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504B97"/>
    <w:rPr>
      <w:rFonts w:ascii="Arial" w:hAnsi="Arial"/>
      <w:sz w:val="24"/>
      <w:szCs w:val="24"/>
      <w:lang w:val="en-US" w:eastAsia="en-US"/>
    </w:rPr>
  </w:style>
  <w:style w:type="paragraph" w:styleId="Titre1">
    <w:name w:val="heading 1"/>
    <w:aliases w:val="ECC Heading 1"/>
    <w:basedOn w:val="Normal"/>
    <w:next w:val="ECCParagraph"/>
    <w:link w:val="Titre1Car"/>
    <w:autoRedefine/>
    <w:uiPriority w:val="99"/>
    <w:qFormat/>
    <w:rsid w:val="00B75A92"/>
    <w:pPr>
      <w:keepNext/>
      <w:numPr>
        <w:numId w:val="41"/>
      </w:numPr>
      <w:spacing w:before="600" w:after="240"/>
      <w:outlineLvl w:val="0"/>
    </w:pPr>
    <w:rPr>
      <w:b/>
      <w:bCs/>
      <w:caps/>
      <w:color w:val="D2232A"/>
      <w:kern w:val="32"/>
      <w:sz w:val="20"/>
      <w:szCs w:val="20"/>
      <w:lang w:val="en-GB" w:eastAsia="fr-FR"/>
    </w:rPr>
  </w:style>
  <w:style w:type="paragraph" w:styleId="Titre2">
    <w:name w:val="heading 2"/>
    <w:aliases w:val="ECC Heading 2"/>
    <w:basedOn w:val="Normal"/>
    <w:next w:val="ECCParagraph"/>
    <w:link w:val="Titre2Car"/>
    <w:autoRedefine/>
    <w:uiPriority w:val="99"/>
    <w:qFormat/>
    <w:rsid w:val="00621387"/>
    <w:pPr>
      <w:keepNext/>
      <w:spacing w:before="480" w:after="240"/>
      <w:outlineLvl w:val="1"/>
    </w:pPr>
    <w:rPr>
      <w:b/>
      <w:bCs/>
      <w:iCs/>
      <w:caps/>
      <w:sz w:val="20"/>
      <w:szCs w:val="20"/>
      <w:lang w:val="en-GB" w:eastAsia="fr-FR"/>
    </w:rPr>
  </w:style>
  <w:style w:type="paragraph" w:styleId="Titre3">
    <w:name w:val="heading 3"/>
    <w:aliases w:val="ECC Heading 3"/>
    <w:basedOn w:val="Normal"/>
    <w:next w:val="ECCParagraph"/>
    <w:link w:val="Titre3Car"/>
    <w:autoRedefine/>
    <w:uiPriority w:val="99"/>
    <w:qFormat/>
    <w:rsid w:val="00621387"/>
    <w:pPr>
      <w:keepNext/>
      <w:spacing w:before="360" w:after="120"/>
      <w:outlineLvl w:val="2"/>
    </w:pPr>
    <w:rPr>
      <w:rFonts w:cs="Arial"/>
      <w:b/>
      <w:bCs/>
      <w:szCs w:val="26"/>
    </w:rPr>
  </w:style>
  <w:style w:type="paragraph" w:styleId="Titre4">
    <w:name w:val="heading 4"/>
    <w:aliases w:val="ECC Heading 4"/>
    <w:basedOn w:val="Normal"/>
    <w:next w:val="ECCParagraph"/>
    <w:link w:val="Titre4Car"/>
    <w:autoRedefine/>
    <w:uiPriority w:val="99"/>
    <w:qFormat/>
    <w:rsid w:val="00504B97"/>
    <w:pPr>
      <w:numPr>
        <w:ilvl w:val="3"/>
        <w:numId w:val="41"/>
      </w:numPr>
      <w:spacing w:before="360" w:after="120"/>
      <w:outlineLvl w:val="3"/>
    </w:pPr>
    <w:rPr>
      <w:rFonts w:cs="Arial"/>
      <w:bCs/>
      <w:i/>
      <w:color w:val="D2232A"/>
      <w:szCs w:val="26"/>
    </w:rPr>
  </w:style>
  <w:style w:type="paragraph" w:styleId="Titre5">
    <w:name w:val="heading 5"/>
    <w:basedOn w:val="Normal"/>
    <w:next w:val="Normal"/>
    <w:link w:val="Titre5Car"/>
    <w:uiPriority w:val="99"/>
    <w:qFormat/>
    <w:rsid w:val="0023167B"/>
    <w:pPr>
      <w:numPr>
        <w:ilvl w:val="4"/>
        <w:numId w:val="41"/>
      </w:numPr>
      <w:spacing w:before="240" w:after="60"/>
      <w:outlineLvl w:val="4"/>
    </w:pPr>
    <w:rPr>
      <w:b/>
      <w:bCs/>
      <w:i/>
      <w:iCs/>
      <w:sz w:val="26"/>
      <w:szCs w:val="26"/>
    </w:rPr>
  </w:style>
  <w:style w:type="paragraph" w:styleId="Titre6">
    <w:name w:val="heading 6"/>
    <w:basedOn w:val="Normal"/>
    <w:next w:val="Normal"/>
    <w:link w:val="Titre6Car"/>
    <w:uiPriority w:val="99"/>
    <w:qFormat/>
    <w:rsid w:val="0023167B"/>
    <w:pPr>
      <w:numPr>
        <w:ilvl w:val="5"/>
        <w:numId w:val="41"/>
      </w:numPr>
      <w:spacing w:before="240" w:after="60"/>
      <w:outlineLvl w:val="5"/>
    </w:pPr>
    <w:rPr>
      <w:b/>
      <w:bCs/>
      <w:sz w:val="22"/>
      <w:szCs w:val="22"/>
    </w:rPr>
  </w:style>
  <w:style w:type="paragraph" w:styleId="Titre7">
    <w:name w:val="heading 7"/>
    <w:basedOn w:val="Normal"/>
    <w:next w:val="Normal"/>
    <w:link w:val="Titre7Car"/>
    <w:uiPriority w:val="99"/>
    <w:qFormat/>
    <w:rsid w:val="0023167B"/>
    <w:pPr>
      <w:numPr>
        <w:ilvl w:val="6"/>
        <w:numId w:val="41"/>
      </w:numPr>
      <w:spacing w:before="240" w:after="60"/>
      <w:outlineLvl w:val="6"/>
    </w:pPr>
  </w:style>
  <w:style w:type="paragraph" w:styleId="Titre8">
    <w:name w:val="heading 8"/>
    <w:basedOn w:val="Normal"/>
    <w:next w:val="Normal"/>
    <w:link w:val="Titre8Car"/>
    <w:uiPriority w:val="99"/>
    <w:qFormat/>
    <w:rsid w:val="0023167B"/>
    <w:pPr>
      <w:numPr>
        <w:ilvl w:val="7"/>
        <w:numId w:val="41"/>
      </w:numPr>
      <w:spacing w:before="240" w:after="60"/>
      <w:outlineLvl w:val="7"/>
    </w:pPr>
    <w:rPr>
      <w:i/>
      <w:iCs/>
    </w:rPr>
  </w:style>
  <w:style w:type="paragraph" w:styleId="Titre9">
    <w:name w:val="heading 9"/>
    <w:basedOn w:val="Normal"/>
    <w:next w:val="Normal"/>
    <w:link w:val="Titre9Car"/>
    <w:uiPriority w:val="99"/>
    <w:qFormat/>
    <w:rsid w:val="0023167B"/>
    <w:pPr>
      <w:numPr>
        <w:ilvl w:val="8"/>
        <w:numId w:val="41"/>
      </w:numPr>
      <w:spacing w:before="240" w:after="60"/>
      <w:outlineLvl w:val="8"/>
    </w:pPr>
    <w:rPr>
      <w:rFonts w:cs="Arial"/>
      <w:sz w:val="22"/>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aliases w:val="ECC Heading 1 Car"/>
    <w:basedOn w:val="Policepardfaut"/>
    <w:link w:val="Titre1"/>
    <w:uiPriority w:val="99"/>
    <w:locked/>
    <w:rsid w:val="00B75A92"/>
    <w:rPr>
      <w:rFonts w:ascii="Arial" w:hAnsi="Arial" w:cs="Times New Roman"/>
      <w:b/>
      <w:bCs/>
      <w:caps/>
      <w:color w:val="D2232A"/>
      <w:kern w:val="32"/>
      <w:sz w:val="20"/>
      <w:szCs w:val="20"/>
      <w:lang w:val="en-GB"/>
    </w:rPr>
  </w:style>
  <w:style w:type="character" w:customStyle="1" w:styleId="Titre2Car">
    <w:name w:val="Titre 2 Car"/>
    <w:aliases w:val="ECC Heading 2 Car"/>
    <w:basedOn w:val="Policepardfaut"/>
    <w:link w:val="Titre2"/>
    <w:uiPriority w:val="99"/>
    <w:locked/>
    <w:rsid w:val="00621387"/>
    <w:rPr>
      <w:rFonts w:ascii="Arial" w:hAnsi="Arial"/>
      <w:b/>
      <w:bCs/>
      <w:iCs/>
      <w:caps/>
      <w:sz w:val="20"/>
      <w:szCs w:val="20"/>
      <w:lang w:val="en-GB"/>
    </w:rPr>
  </w:style>
  <w:style w:type="character" w:customStyle="1" w:styleId="Titre3Car">
    <w:name w:val="Titre 3 Car"/>
    <w:aliases w:val="ECC Heading 3 Car"/>
    <w:basedOn w:val="Policepardfaut"/>
    <w:link w:val="Titre3"/>
    <w:uiPriority w:val="99"/>
    <w:locked/>
    <w:rsid w:val="00621387"/>
    <w:rPr>
      <w:rFonts w:ascii="Arial" w:hAnsi="Arial" w:cs="Arial"/>
      <w:b/>
      <w:bCs/>
      <w:sz w:val="24"/>
      <w:szCs w:val="26"/>
      <w:lang w:val="en-US" w:eastAsia="en-US"/>
    </w:rPr>
  </w:style>
  <w:style w:type="character" w:customStyle="1" w:styleId="Titre4Car">
    <w:name w:val="Titre 4 Car"/>
    <w:aliases w:val="ECC Heading 4 Car"/>
    <w:basedOn w:val="Policepardfaut"/>
    <w:link w:val="Titre4"/>
    <w:uiPriority w:val="99"/>
    <w:semiHidden/>
    <w:locked/>
    <w:rsid w:val="000C27AC"/>
    <w:rPr>
      <w:rFonts w:ascii="Calibri" w:eastAsia="MS ??" w:hAnsi="Calibri" w:cs="Times New Roman"/>
      <w:b/>
      <w:bCs/>
      <w:sz w:val="28"/>
      <w:szCs w:val="28"/>
      <w:lang w:val="en-US" w:eastAsia="en-US"/>
    </w:rPr>
  </w:style>
  <w:style w:type="character" w:customStyle="1" w:styleId="Titre5Car">
    <w:name w:val="Titre 5 Car"/>
    <w:basedOn w:val="Policepardfaut"/>
    <w:link w:val="Titre5"/>
    <w:uiPriority w:val="99"/>
    <w:semiHidden/>
    <w:locked/>
    <w:rsid w:val="000C27AC"/>
    <w:rPr>
      <w:rFonts w:ascii="Calibri" w:eastAsia="MS ??" w:hAnsi="Calibri" w:cs="Times New Roman"/>
      <w:b/>
      <w:bCs/>
      <w:i/>
      <w:iCs/>
      <w:sz w:val="26"/>
      <w:szCs w:val="26"/>
      <w:lang w:val="en-US" w:eastAsia="en-US"/>
    </w:rPr>
  </w:style>
  <w:style w:type="character" w:customStyle="1" w:styleId="Titre6Car">
    <w:name w:val="Titre 6 Car"/>
    <w:basedOn w:val="Policepardfaut"/>
    <w:link w:val="Titre6"/>
    <w:uiPriority w:val="99"/>
    <w:semiHidden/>
    <w:locked/>
    <w:rsid w:val="000C27AC"/>
    <w:rPr>
      <w:rFonts w:ascii="Calibri" w:eastAsia="MS ??" w:hAnsi="Calibri" w:cs="Times New Roman"/>
      <w:b/>
      <w:bCs/>
      <w:lang w:val="en-US" w:eastAsia="en-US"/>
    </w:rPr>
  </w:style>
  <w:style w:type="character" w:customStyle="1" w:styleId="Titre7Car">
    <w:name w:val="Titre 7 Car"/>
    <w:basedOn w:val="Policepardfaut"/>
    <w:link w:val="Titre7"/>
    <w:uiPriority w:val="99"/>
    <w:semiHidden/>
    <w:locked/>
    <w:rsid w:val="000C27AC"/>
    <w:rPr>
      <w:rFonts w:ascii="Calibri" w:eastAsia="MS ??" w:hAnsi="Calibri" w:cs="Times New Roman"/>
      <w:sz w:val="24"/>
      <w:szCs w:val="24"/>
      <w:lang w:val="en-US" w:eastAsia="en-US"/>
    </w:rPr>
  </w:style>
  <w:style w:type="character" w:customStyle="1" w:styleId="Titre8Car">
    <w:name w:val="Titre 8 Car"/>
    <w:basedOn w:val="Policepardfaut"/>
    <w:link w:val="Titre8"/>
    <w:uiPriority w:val="99"/>
    <w:semiHidden/>
    <w:locked/>
    <w:rsid w:val="000C27AC"/>
    <w:rPr>
      <w:rFonts w:ascii="Calibri" w:eastAsia="MS ??" w:hAnsi="Calibri" w:cs="Times New Roman"/>
      <w:i/>
      <w:iCs/>
      <w:sz w:val="24"/>
      <w:szCs w:val="24"/>
      <w:lang w:val="en-US" w:eastAsia="en-US"/>
    </w:rPr>
  </w:style>
  <w:style w:type="character" w:customStyle="1" w:styleId="Titre9Car">
    <w:name w:val="Titre 9 Car"/>
    <w:basedOn w:val="Policepardfaut"/>
    <w:link w:val="Titre9"/>
    <w:uiPriority w:val="99"/>
    <w:semiHidden/>
    <w:locked/>
    <w:rsid w:val="000C27AC"/>
    <w:rPr>
      <w:rFonts w:ascii="Cambria" w:eastAsia="MS ????" w:hAnsi="Cambria" w:cs="Times New Roman"/>
      <w:lang w:val="en-US" w:eastAsia="en-US"/>
    </w:rPr>
  </w:style>
  <w:style w:type="paragraph" w:customStyle="1" w:styleId="ECCParagraph">
    <w:name w:val="ECC Paragraph"/>
    <w:basedOn w:val="Normal"/>
    <w:uiPriority w:val="99"/>
    <w:rsid w:val="00504B97"/>
    <w:pPr>
      <w:spacing w:after="240"/>
      <w:jc w:val="both"/>
    </w:pPr>
    <w:rPr>
      <w:lang w:val="en-GB"/>
    </w:rPr>
  </w:style>
  <w:style w:type="paragraph" w:customStyle="1" w:styleId="ECCParBulleted">
    <w:name w:val="ECC Par Bulleted"/>
    <w:basedOn w:val="ECCParagraph"/>
    <w:uiPriority w:val="99"/>
    <w:rsid w:val="00504B97"/>
    <w:pPr>
      <w:spacing w:after="0"/>
    </w:pPr>
  </w:style>
  <w:style w:type="paragraph" w:styleId="En-tte">
    <w:name w:val="header"/>
    <w:basedOn w:val="Normal"/>
    <w:link w:val="En-tteCar"/>
    <w:uiPriority w:val="99"/>
    <w:semiHidden/>
    <w:rsid w:val="0023167B"/>
    <w:pPr>
      <w:tabs>
        <w:tab w:val="center" w:pos="4320"/>
        <w:tab w:val="right" w:pos="8640"/>
      </w:tabs>
    </w:pPr>
    <w:rPr>
      <w:b/>
      <w:sz w:val="16"/>
    </w:rPr>
  </w:style>
  <w:style w:type="character" w:customStyle="1" w:styleId="En-tteCar">
    <w:name w:val="En-tête Car"/>
    <w:basedOn w:val="Policepardfaut"/>
    <w:link w:val="En-tte"/>
    <w:uiPriority w:val="99"/>
    <w:semiHidden/>
    <w:locked/>
    <w:rsid w:val="000C27AC"/>
    <w:rPr>
      <w:rFonts w:ascii="Arial" w:hAnsi="Arial" w:cs="Times New Roman"/>
      <w:sz w:val="24"/>
      <w:szCs w:val="24"/>
      <w:lang w:val="en-US" w:eastAsia="en-US"/>
    </w:rPr>
  </w:style>
  <w:style w:type="paragraph" w:styleId="Pieddepage">
    <w:name w:val="footer"/>
    <w:basedOn w:val="Normal"/>
    <w:link w:val="PieddepageCar"/>
    <w:uiPriority w:val="99"/>
    <w:semiHidden/>
    <w:rsid w:val="00504B97"/>
    <w:pPr>
      <w:tabs>
        <w:tab w:val="center" w:pos="4320"/>
        <w:tab w:val="right" w:pos="8640"/>
      </w:tabs>
    </w:pPr>
  </w:style>
  <w:style w:type="character" w:customStyle="1" w:styleId="PieddepageCar">
    <w:name w:val="Pied de page Car"/>
    <w:basedOn w:val="Policepardfaut"/>
    <w:link w:val="Pieddepage"/>
    <w:uiPriority w:val="99"/>
    <w:semiHidden/>
    <w:locked/>
    <w:rsid w:val="000C27AC"/>
    <w:rPr>
      <w:rFonts w:ascii="Arial" w:hAnsi="Arial" w:cs="Times New Roman"/>
      <w:sz w:val="24"/>
      <w:szCs w:val="24"/>
      <w:lang w:val="en-US" w:eastAsia="en-US"/>
    </w:rPr>
  </w:style>
  <w:style w:type="paragraph" w:customStyle="1" w:styleId="ECCAnnex-heading1">
    <w:name w:val="ECC Annex - heading1"/>
    <w:basedOn w:val="Titre1"/>
    <w:next w:val="ECCParagraph"/>
    <w:uiPriority w:val="99"/>
    <w:rsid w:val="00504B97"/>
    <w:pPr>
      <w:numPr>
        <w:numId w:val="5"/>
      </w:numPr>
      <w:ind w:left="0" w:firstLine="0"/>
    </w:pPr>
    <w:rPr>
      <w:b w:val="0"/>
    </w:rPr>
  </w:style>
  <w:style w:type="paragraph" w:styleId="TM1">
    <w:name w:val="toc 1"/>
    <w:basedOn w:val="Normal"/>
    <w:next w:val="Normal"/>
    <w:autoRedefine/>
    <w:uiPriority w:val="99"/>
    <w:rsid w:val="00504B97"/>
    <w:pPr>
      <w:tabs>
        <w:tab w:val="left" w:pos="360"/>
        <w:tab w:val="right" w:leader="dot" w:pos="9629"/>
      </w:tabs>
      <w:spacing w:before="240"/>
    </w:pPr>
    <w:rPr>
      <w:b/>
      <w:caps/>
    </w:rPr>
  </w:style>
  <w:style w:type="character" w:styleId="Lienhypertexte">
    <w:name w:val="Hyperlink"/>
    <w:basedOn w:val="Policepardfaut"/>
    <w:uiPriority w:val="99"/>
    <w:rsid w:val="0023167B"/>
    <w:rPr>
      <w:rFonts w:cs="Times New Roman"/>
      <w:color w:val="0000FF"/>
      <w:u w:val="single"/>
    </w:rPr>
  </w:style>
  <w:style w:type="paragraph" w:styleId="TM2">
    <w:name w:val="toc 2"/>
    <w:basedOn w:val="Normal"/>
    <w:next w:val="Normal"/>
    <w:autoRedefine/>
    <w:uiPriority w:val="99"/>
    <w:rsid w:val="00504B97"/>
    <w:pPr>
      <w:tabs>
        <w:tab w:val="left" w:pos="900"/>
        <w:tab w:val="right" w:leader="dot" w:pos="9629"/>
      </w:tabs>
      <w:ind w:left="360"/>
    </w:pPr>
  </w:style>
  <w:style w:type="paragraph" w:styleId="TM3">
    <w:name w:val="toc 3"/>
    <w:basedOn w:val="Normal"/>
    <w:next w:val="Normal"/>
    <w:autoRedefine/>
    <w:uiPriority w:val="99"/>
    <w:rsid w:val="00504B97"/>
    <w:pPr>
      <w:tabs>
        <w:tab w:val="left" w:pos="1440"/>
        <w:tab w:val="right" w:leader="dot" w:pos="9629"/>
      </w:tabs>
      <w:ind w:left="900"/>
    </w:pPr>
  </w:style>
  <w:style w:type="paragraph" w:styleId="TM4">
    <w:name w:val="toc 4"/>
    <w:basedOn w:val="Normal"/>
    <w:next w:val="Normal"/>
    <w:autoRedefine/>
    <w:uiPriority w:val="99"/>
    <w:rsid w:val="00504B97"/>
    <w:pPr>
      <w:tabs>
        <w:tab w:val="left" w:pos="2340"/>
        <w:tab w:val="right" w:leader="dot" w:pos="9629"/>
      </w:tabs>
      <w:ind w:left="1440"/>
    </w:pPr>
    <w:rPr>
      <w:i/>
    </w:rPr>
  </w:style>
  <w:style w:type="table" w:styleId="Grilledutableau">
    <w:name w:val="Table Grid"/>
    <w:basedOn w:val="TableauNormal"/>
    <w:uiPriority w:val="99"/>
    <w:rsid w:val="0023167B"/>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CCFiguretitle">
    <w:name w:val="ECC Figure title"/>
    <w:basedOn w:val="ECCParagraph"/>
    <w:next w:val="ECCParagraph"/>
    <w:uiPriority w:val="99"/>
    <w:rsid w:val="00504B97"/>
    <w:pPr>
      <w:numPr>
        <w:numId w:val="4"/>
      </w:numPr>
      <w:spacing w:before="240" w:after="480"/>
      <w:jc w:val="center"/>
    </w:pPr>
    <w:rPr>
      <w:b/>
      <w:color w:val="D2232A"/>
    </w:rPr>
  </w:style>
  <w:style w:type="paragraph" w:customStyle="1" w:styleId="ECCTabletitle">
    <w:name w:val="ECC Table title"/>
    <w:basedOn w:val="ECCFiguretitle"/>
    <w:next w:val="ECCParagraph"/>
    <w:autoRedefine/>
    <w:uiPriority w:val="99"/>
    <w:rsid w:val="00504B97"/>
    <w:pPr>
      <w:numPr>
        <w:numId w:val="3"/>
      </w:numPr>
      <w:spacing w:before="360" w:after="240"/>
    </w:pPr>
  </w:style>
  <w:style w:type="paragraph" w:customStyle="1" w:styleId="ECCFootnote">
    <w:name w:val="ECC Footnote"/>
    <w:basedOn w:val="Normal"/>
    <w:autoRedefine/>
    <w:uiPriority w:val="99"/>
    <w:rsid w:val="0023167B"/>
    <w:pPr>
      <w:ind w:left="454" w:hanging="454"/>
    </w:pPr>
    <w:rPr>
      <w:sz w:val="16"/>
    </w:rPr>
  </w:style>
  <w:style w:type="paragraph" w:styleId="Notedebasdepage">
    <w:name w:val="footnote text"/>
    <w:basedOn w:val="Normal"/>
    <w:link w:val="NotedebasdepageCar"/>
    <w:uiPriority w:val="99"/>
    <w:rsid w:val="00504B97"/>
    <w:rPr>
      <w:sz w:val="20"/>
      <w:szCs w:val="20"/>
      <w:lang w:val="fr-FR" w:eastAsia="fr-FR"/>
    </w:rPr>
  </w:style>
  <w:style w:type="character" w:customStyle="1" w:styleId="NotedebasdepageCar">
    <w:name w:val="Note de bas de page Car"/>
    <w:basedOn w:val="Policepardfaut"/>
    <w:link w:val="Notedebasdepage"/>
    <w:uiPriority w:val="99"/>
    <w:locked/>
    <w:rsid w:val="00A344AB"/>
    <w:rPr>
      <w:rFonts w:ascii="Arial" w:hAnsi="Arial" w:cs="Times New Roman"/>
      <w:sz w:val="20"/>
    </w:rPr>
  </w:style>
  <w:style w:type="character" w:styleId="Appelnotedebasdep">
    <w:name w:val="footnote reference"/>
    <w:basedOn w:val="Policepardfaut"/>
    <w:uiPriority w:val="99"/>
    <w:rsid w:val="0023167B"/>
    <w:rPr>
      <w:rFonts w:cs="Times New Roman"/>
      <w:vertAlign w:val="superscript"/>
    </w:rPr>
  </w:style>
  <w:style w:type="paragraph" w:customStyle="1" w:styleId="Text">
    <w:name w:val="Text"/>
    <w:basedOn w:val="Normal"/>
    <w:uiPriority w:val="99"/>
    <w:rsid w:val="00504B97"/>
    <w:pPr>
      <w:widowControl w:val="0"/>
      <w:autoSpaceDE w:val="0"/>
      <w:autoSpaceDN w:val="0"/>
      <w:spacing w:line="252" w:lineRule="auto"/>
      <w:ind w:firstLine="202"/>
      <w:jc w:val="both"/>
    </w:pPr>
    <w:rPr>
      <w:szCs w:val="20"/>
    </w:rPr>
  </w:style>
  <w:style w:type="paragraph" w:customStyle="1" w:styleId="ECCTablenote">
    <w:name w:val="ECC Table note"/>
    <w:basedOn w:val="ECCParagraph"/>
    <w:next w:val="ECCParagraph"/>
    <w:autoRedefine/>
    <w:uiPriority w:val="99"/>
    <w:rsid w:val="0023167B"/>
    <w:pPr>
      <w:spacing w:after="0"/>
      <w:ind w:left="284" w:hanging="284"/>
    </w:pPr>
    <w:rPr>
      <w:sz w:val="16"/>
      <w:szCs w:val="16"/>
    </w:rPr>
  </w:style>
  <w:style w:type="paragraph" w:customStyle="1" w:styleId="reference">
    <w:name w:val="reference"/>
    <w:basedOn w:val="Normal"/>
    <w:uiPriority w:val="99"/>
    <w:rsid w:val="00504B97"/>
    <w:pPr>
      <w:numPr>
        <w:numId w:val="6"/>
      </w:numPr>
    </w:pPr>
    <w:rPr>
      <w:lang w:eastAsia="ja-JP"/>
    </w:rPr>
  </w:style>
  <w:style w:type="paragraph" w:customStyle="1" w:styleId="ECCAnnexheading2">
    <w:name w:val="ECC Annex heading2"/>
    <w:basedOn w:val="Normal"/>
    <w:next w:val="ECCParagraph"/>
    <w:uiPriority w:val="99"/>
    <w:rsid w:val="00504B97"/>
    <w:pPr>
      <w:numPr>
        <w:ilvl w:val="1"/>
        <w:numId w:val="5"/>
      </w:numPr>
      <w:overflowPunct w:val="0"/>
      <w:autoSpaceDE w:val="0"/>
      <w:autoSpaceDN w:val="0"/>
      <w:adjustRightInd w:val="0"/>
      <w:spacing w:before="480" w:after="240"/>
      <w:textAlignment w:val="baseline"/>
    </w:pPr>
    <w:rPr>
      <w:b/>
      <w:caps/>
    </w:rPr>
  </w:style>
  <w:style w:type="paragraph" w:customStyle="1" w:styleId="ECCAnnexheading3">
    <w:name w:val="ECC Annex heading3"/>
    <w:basedOn w:val="Normal"/>
    <w:next w:val="ECCParagraph"/>
    <w:uiPriority w:val="99"/>
    <w:rsid w:val="00504B97"/>
    <w:pPr>
      <w:numPr>
        <w:ilvl w:val="2"/>
        <w:numId w:val="5"/>
      </w:numPr>
      <w:overflowPunct w:val="0"/>
      <w:autoSpaceDE w:val="0"/>
      <w:autoSpaceDN w:val="0"/>
      <w:adjustRightInd w:val="0"/>
      <w:spacing w:before="360" w:after="120"/>
      <w:textAlignment w:val="baseline"/>
    </w:pPr>
    <w:rPr>
      <w:b/>
    </w:rPr>
  </w:style>
  <w:style w:type="paragraph" w:customStyle="1" w:styleId="ECCAnnexheading4">
    <w:name w:val="ECC Annex heading4"/>
    <w:basedOn w:val="Normal"/>
    <w:next w:val="ECCParagraph"/>
    <w:uiPriority w:val="99"/>
    <w:rsid w:val="00504B97"/>
    <w:pPr>
      <w:numPr>
        <w:ilvl w:val="3"/>
        <w:numId w:val="5"/>
      </w:numPr>
      <w:overflowPunct w:val="0"/>
      <w:autoSpaceDE w:val="0"/>
      <w:autoSpaceDN w:val="0"/>
      <w:adjustRightInd w:val="0"/>
      <w:spacing w:before="360" w:after="120"/>
      <w:textAlignment w:val="baseline"/>
    </w:pPr>
    <w:rPr>
      <w:i/>
      <w:color w:val="D2232A"/>
    </w:rPr>
  </w:style>
  <w:style w:type="paragraph" w:customStyle="1" w:styleId="Lastupdated">
    <w:name w:val="Last updated"/>
    <w:basedOn w:val="Normal"/>
    <w:uiPriority w:val="99"/>
    <w:rsid w:val="0023167B"/>
    <w:pPr>
      <w:spacing w:before="120" w:after="120"/>
      <w:ind w:left="3402"/>
    </w:pPr>
    <w:rPr>
      <w:bCs/>
      <w:sz w:val="18"/>
    </w:rPr>
  </w:style>
  <w:style w:type="paragraph" w:customStyle="1" w:styleId="Reporttitledescription">
    <w:name w:val="Report title/description"/>
    <w:basedOn w:val="Normal"/>
    <w:uiPriority w:val="99"/>
    <w:rsid w:val="0023167B"/>
    <w:pPr>
      <w:spacing w:before="600" w:line="288" w:lineRule="auto"/>
      <w:ind w:left="3402"/>
    </w:pPr>
  </w:style>
  <w:style w:type="paragraph" w:styleId="Paragraphedeliste">
    <w:name w:val="List Paragraph"/>
    <w:basedOn w:val="Normal"/>
    <w:uiPriority w:val="99"/>
    <w:qFormat/>
    <w:rsid w:val="00964373"/>
    <w:pPr>
      <w:overflowPunct w:val="0"/>
      <w:autoSpaceDE w:val="0"/>
      <w:autoSpaceDN w:val="0"/>
      <w:adjustRightInd w:val="0"/>
      <w:ind w:left="720"/>
      <w:contextualSpacing/>
      <w:textAlignment w:val="baseline"/>
    </w:pPr>
    <w:rPr>
      <w:rFonts w:ascii="Times" w:eastAsia="MS ??" w:hAnsi="Times"/>
      <w:szCs w:val="20"/>
      <w:lang w:val="nb-NO" w:eastAsia="de-DE"/>
    </w:rPr>
  </w:style>
  <w:style w:type="paragraph" w:styleId="Lgende">
    <w:name w:val="caption"/>
    <w:basedOn w:val="Normal"/>
    <w:next w:val="Normal"/>
    <w:uiPriority w:val="99"/>
    <w:qFormat/>
    <w:rsid w:val="00504B97"/>
    <w:rPr>
      <w:b/>
      <w:bCs/>
      <w:szCs w:val="20"/>
    </w:rPr>
  </w:style>
  <w:style w:type="paragraph" w:styleId="Textedebulles">
    <w:name w:val="Balloon Text"/>
    <w:basedOn w:val="Normal"/>
    <w:link w:val="TextedebullesCar"/>
    <w:uiPriority w:val="99"/>
    <w:semiHidden/>
    <w:rsid w:val="00E12BE6"/>
    <w:rPr>
      <w:rFonts w:ascii="Lucida Grande" w:hAnsi="Lucida Grande" w:cs="Lucida Grande"/>
      <w:sz w:val="18"/>
      <w:szCs w:val="18"/>
    </w:rPr>
  </w:style>
  <w:style w:type="character" w:customStyle="1" w:styleId="TextedebullesCar">
    <w:name w:val="Texte de bulles Car"/>
    <w:basedOn w:val="Policepardfaut"/>
    <w:link w:val="Textedebulles"/>
    <w:uiPriority w:val="99"/>
    <w:semiHidden/>
    <w:locked/>
    <w:rsid w:val="00E12BE6"/>
    <w:rPr>
      <w:rFonts w:ascii="Lucida Grande" w:hAnsi="Lucida Grande" w:cs="Lucida Grande"/>
      <w:sz w:val="18"/>
      <w:szCs w:val="18"/>
    </w:rPr>
  </w:style>
  <w:style w:type="paragraph" w:customStyle="1" w:styleId="enumlev1">
    <w:name w:val="enumlev1"/>
    <w:basedOn w:val="Normal"/>
    <w:uiPriority w:val="99"/>
    <w:rsid w:val="004F12C0"/>
    <w:pPr>
      <w:tabs>
        <w:tab w:val="left" w:pos="1134"/>
        <w:tab w:val="left" w:pos="1871"/>
        <w:tab w:val="left" w:pos="2608"/>
        <w:tab w:val="left" w:pos="3345"/>
      </w:tabs>
      <w:overflowPunct w:val="0"/>
      <w:autoSpaceDE w:val="0"/>
      <w:autoSpaceDN w:val="0"/>
      <w:adjustRightInd w:val="0"/>
      <w:spacing w:before="80"/>
      <w:ind w:left="1134" w:hanging="1134"/>
      <w:textAlignment w:val="baseline"/>
    </w:pPr>
    <w:rPr>
      <w:rFonts w:ascii="Times New Roman" w:hAnsi="Times New Roman"/>
      <w:szCs w:val="20"/>
      <w:lang w:val="en-GB"/>
    </w:rPr>
  </w:style>
  <w:style w:type="character" w:styleId="Marquedecommentaire">
    <w:name w:val="annotation reference"/>
    <w:basedOn w:val="Policepardfaut"/>
    <w:uiPriority w:val="99"/>
    <w:semiHidden/>
    <w:rsid w:val="00C0424A"/>
    <w:rPr>
      <w:rFonts w:cs="Times New Roman"/>
      <w:sz w:val="16"/>
      <w:szCs w:val="16"/>
    </w:rPr>
  </w:style>
  <w:style w:type="paragraph" w:styleId="Commentaire">
    <w:name w:val="annotation text"/>
    <w:basedOn w:val="Normal"/>
    <w:link w:val="CommentaireCar"/>
    <w:uiPriority w:val="99"/>
    <w:semiHidden/>
    <w:rsid w:val="00DB30C2"/>
    <w:rPr>
      <w:szCs w:val="20"/>
    </w:rPr>
  </w:style>
  <w:style w:type="character" w:customStyle="1" w:styleId="CommentaireCar">
    <w:name w:val="Commentaire Car"/>
    <w:basedOn w:val="Policepardfaut"/>
    <w:link w:val="Commentaire"/>
    <w:uiPriority w:val="99"/>
    <w:semiHidden/>
    <w:locked/>
    <w:rsid w:val="00DB30C2"/>
    <w:rPr>
      <w:rFonts w:ascii="Arial" w:hAnsi="Arial" w:cs="Times New Roman"/>
    </w:rPr>
  </w:style>
  <w:style w:type="paragraph" w:styleId="Objetducommentaire">
    <w:name w:val="annotation subject"/>
    <w:basedOn w:val="Commentaire"/>
    <w:next w:val="Commentaire"/>
    <w:link w:val="ObjetducommentaireCar"/>
    <w:uiPriority w:val="99"/>
    <w:semiHidden/>
    <w:rsid w:val="00C0424A"/>
    <w:rPr>
      <w:b/>
      <w:bCs/>
    </w:rPr>
  </w:style>
  <w:style w:type="character" w:customStyle="1" w:styleId="ObjetducommentaireCar">
    <w:name w:val="Objet du commentaire Car"/>
    <w:basedOn w:val="CommentaireCar"/>
    <w:link w:val="Objetducommentaire"/>
    <w:uiPriority w:val="99"/>
    <w:semiHidden/>
    <w:locked/>
    <w:rsid w:val="00DB30C2"/>
    <w:rPr>
      <w:rFonts w:ascii="Arial" w:hAnsi="Arial" w:cs="Times New Roman"/>
      <w:b/>
      <w:bCs/>
      <w:sz w:val="20"/>
      <w:szCs w:val="20"/>
    </w:rPr>
  </w:style>
  <w:style w:type="paragraph" w:styleId="Rvision">
    <w:name w:val="Revision"/>
    <w:hidden/>
    <w:uiPriority w:val="99"/>
    <w:semiHidden/>
    <w:rsid w:val="00504B97"/>
    <w:rPr>
      <w:rFonts w:ascii="Arial" w:hAnsi="Arial"/>
      <w:sz w:val="24"/>
      <w:szCs w:val="24"/>
      <w:lang w:val="en-US" w:eastAsia="en-US"/>
    </w:rPr>
  </w:style>
  <w:style w:type="paragraph" w:styleId="Explorateurdedocuments">
    <w:name w:val="Document Map"/>
    <w:basedOn w:val="Normal"/>
    <w:link w:val="ExplorateurdedocumentsCar"/>
    <w:uiPriority w:val="99"/>
    <w:semiHidden/>
    <w:rsid w:val="00C0424A"/>
    <w:rPr>
      <w:rFonts w:ascii="Lucida Grande" w:hAnsi="Lucida Grande" w:cs="Lucida Grande"/>
    </w:rPr>
  </w:style>
  <w:style w:type="character" w:customStyle="1" w:styleId="ExplorateurdedocumentsCar">
    <w:name w:val="Explorateur de documents Car"/>
    <w:basedOn w:val="Policepardfaut"/>
    <w:link w:val="Explorateurdedocuments"/>
    <w:uiPriority w:val="99"/>
    <w:semiHidden/>
    <w:locked/>
    <w:rsid w:val="00C0424A"/>
    <w:rPr>
      <w:rFonts w:ascii="Lucida Grande" w:hAnsi="Lucida Grande" w:cs="Lucida Grande"/>
    </w:rPr>
  </w:style>
  <w:style w:type="character" w:styleId="Numrodepage">
    <w:name w:val="page number"/>
    <w:locked/>
    <w:rsid w:val="006141BB"/>
    <w:rPr>
      <w:rFonts w:cs="Times New Roman"/>
    </w:rPr>
  </w:style>
  <w:style w:type="paragraph" w:customStyle="1" w:styleId="NumberedList">
    <w:name w:val="Numbered List"/>
    <w:basedOn w:val="ECCParagraph"/>
    <w:rsid w:val="006141BB"/>
    <w:pPr>
      <w:numPr>
        <w:numId w:val="51"/>
      </w:numPr>
    </w:pPr>
    <w:rPr>
      <w:sz w:val="20"/>
    </w:rPr>
  </w:style>
  <w:style w:type="numbering" w:customStyle="1" w:styleId="ECCNumberedList">
    <w:name w:val="ECC Numbered List"/>
    <w:uiPriority w:val="99"/>
    <w:rsid w:val="006141BB"/>
    <w:pPr>
      <w:numPr>
        <w:numId w:val="5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3297243">
      <w:marLeft w:val="0"/>
      <w:marRight w:val="0"/>
      <w:marTop w:val="0"/>
      <w:marBottom w:val="0"/>
      <w:divBdr>
        <w:top w:val="none" w:sz="0" w:space="0" w:color="auto"/>
        <w:left w:val="none" w:sz="0" w:space="0" w:color="auto"/>
        <w:bottom w:val="none" w:sz="0" w:space="0" w:color="auto"/>
        <w:right w:val="none" w:sz="0" w:space="0" w:color="auto"/>
      </w:divBdr>
    </w:div>
    <w:div w:id="883297244">
      <w:marLeft w:val="0"/>
      <w:marRight w:val="0"/>
      <w:marTop w:val="0"/>
      <w:marBottom w:val="0"/>
      <w:divBdr>
        <w:top w:val="none" w:sz="0" w:space="0" w:color="auto"/>
        <w:left w:val="none" w:sz="0" w:space="0" w:color="auto"/>
        <w:bottom w:val="none" w:sz="0" w:space="0" w:color="auto"/>
        <w:right w:val="none" w:sz="0" w:space="0" w:color="auto"/>
      </w:divBdr>
    </w:div>
    <w:div w:id="883297245">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diagramData" Target="diagrams/data1.xm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comments" Target="comments.xml"/><Relationship Id="rId17" Type="http://schemas.microsoft.com/office/2007/relationships/diagramDrawing" Target="diagrams/drawing1.xml"/><Relationship Id="rId2" Type="http://schemas.openxmlformats.org/officeDocument/2006/relationships/numbering" Target="numbering.xml"/><Relationship Id="rId16" Type="http://schemas.openxmlformats.org/officeDocument/2006/relationships/diagramColors" Target="diagrams/colors1.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diagramQuickStyle" Target="diagrams/quickStyle1.xml"/><Relationship Id="rId10" Type="http://schemas.openxmlformats.org/officeDocument/2006/relationships/header" Target="header2.xml"/><Relationship Id="rId19" Type="http://schemas.openxmlformats.org/officeDocument/2006/relationships/header" Target="header5.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diagramLayout" Target="diagrams/layout1.xml"/><Relationship Id="rId22" Type="http://schemas.openxmlformats.org/officeDocument/2006/relationships/theme" Target="theme/theme1.xml"/></Relationships>
</file>

<file path=word/diagrams/colors1.xml><?xml version="1.0" encoding="utf-8"?>
<dgm:colorsDef xmlns:dgm="http://schemas.openxmlformats.org/drawingml/2006/diagram" xmlns:a="http://schemas.openxmlformats.org/drawingml/2006/main" uniqueId="urn:microsoft.com/office/officeart/2005/8/colors/accent0_1">
  <dgm:title val=""/>
  <dgm:desc val=""/>
  <dgm:catLst>
    <dgm:cat type="mainScheme" pri="10100"/>
  </dgm:catLst>
  <dgm:styleLbl name="node0">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lig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l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vennNode1">
    <dgm:fillClrLst meth="repeat">
      <a:schemeClr val="lt1">
        <a:alpha val="50000"/>
      </a:schemeClr>
    </dgm:fillClrLst>
    <dgm:linClrLst meth="repeat">
      <a:schemeClr val="dk1">
        <a:shade val="80000"/>
      </a:schemeClr>
    </dgm:linClrLst>
    <dgm:effectClrLst/>
    <dgm:txLinClrLst/>
    <dgm:txFillClrLst/>
    <dgm:txEffectClrLst/>
  </dgm:styleLbl>
  <dgm:styleLbl name="node2">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dk1">
        <a:shade val="80000"/>
      </a:schemeClr>
    </dgm:linClrLst>
    <dgm:effectClrLst/>
    <dgm:txLinClrLst/>
    <dgm:txFillClrLst meth="repeat">
      <a:schemeClr val="dk1"/>
    </dgm:txFillClrLst>
    <dgm:txEffectClrLst/>
  </dgm:styleLbl>
  <dgm:styleLbl name="f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align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b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f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b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sibTrans1D1">
    <dgm:fillClrLst meth="repeat">
      <a:schemeClr val="dk1"/>
    </dgm:fillClrLst>
    <dgm:linClrLst meth="repeat">
      <a:schemeClr val="dk1"/>
    </dgm:linClrLst>
    <dgm:effectClrLst/>
    <dgm:txLinClrLst/>
    <dgm:txFillClrLst meth="repeat">
      <a:schemeClr val="tx1"/>
    </dgm:txFillClrLst>
    <dgm:txEffectClrLst/>
  </dgm:styleLbl>
  <dgm:styleLbl name="callout">
    <dgm:fillClrLst meth="repeat">
      <a:schemeClr val="dk1"/>
    </dgm:fillClrLst>
    <dgm:linClrLst meth="repeat">
      <a:schemeClr val="dk1"/>
    </dgm:linClrLst>
    <dgm:effectClrLst/>
    <dgm:txLinClrLst/>
    <dgm:txFillClrLst meth="repeat">
      <a:schemeClr val="tx1"/>
    </dgm:txFillClrLst>
    <dgm:txEffectClrLst/>
  </dgm:styleLbl>
  <dgm:styleLbl name="asst0">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dk1">
        <a:shade val="80000"/>
      </a:schemeClr>
    </dgm:linClrLst>
    <dgm:effectClrLst/>
    <dgm:txLinClrLst/>
    <dgm:txFillClrLst meth="repeat">
      <a:schemeClr val="dk1"/>
    </dgm:txFillClrLst>
    <dgm:txEffectClrLst/>
  </dgm:styleLbl>
  <dgm:styleLbl name="parChTrans2D1">
    <dgm:fillClrLst meth="repeat">
      <a:schemeClr val="dk1">
        <a:tint val="60000"/>
      </a:schemeClr>
    </dgm:fillClrLst>
    <dgm:linClrLst meth="repeat">
      <a:schemeClr val="dk1">
        <a:tint val="60000"/>
      </a:schemeClr>
    </dgm:linClrLst>
    <dgm:effectClrLst/>
    <dgm:txLinClrLst/>
    <dgm:txFillClrLst/>
    <dgm:txEffectClrLst/>
  </dgm:styleLbl>
  <dgm:styleLbl name="parChTrans2D2">
    <dgm:fillClrLst meth="repeat">
      <a:schemeClr val="dk1"/>
    </dgm:fillClrLst>
    <dgm:linClrLst meth="repeat">
      <a:schemeClr val="dk1"/>
    </dgm:linClrLst>
    <dgm:effectClrLst/>
    <dgm:txLinClrLst/>
    <dgm:txFillClrLst/>
    <dgm:txEffectClrLst/>
  </dgm:styleLbl>
  <dgm:styleLbl name="parChTrans2D3">
    <dgm:fillClrLst meth="repeat">
      <a:schemeClr val="dk1"/>
    </dgm:fillClrLst>
    <dgm:linClrLst meth="repeat">
      <a:schemeClr val="dk1"/>
    </dgm:linClrLst>
    <dgm:effectClrLst/>
    <dgm:txLinClrLst/>
    <dgm:txFillClrLst/>
    <dgm:txEffectClrLst/>
  </dgm:styleLbl>
  <dgm:styleLbl name="parChTrans2D4">
    <dgm:fillClrLst meth="repeat">
      <a:schemeClr val="dk1"/>
    </dgm:fillClrLst>
    <dgm:linClrLst meth="repeat">
      <a:schemeClr val="dk1"/>
    </dgm:linClrLst>
    <dgm:effectClrLst/>
    <dgm:txLinClrLst/>
    <dgm:txFillClrLst meth="repeat">
      <a:schemeClr val="lt1"/>
    </dgm:txFillClrLst>
    <dgm:txEffectClrLst/>
  </dgm:styleLbl>
  <dgm:styleLbl name="parChTrans1D1">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2">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3">
    <dgm:fillClrLst meth="repeat">
      <a:schemeClr val="dk1"/>
    </dgm:fillClrLst>
    <dgm:linClrLst meth="repeat">
      <a:schemeClr val="dk1">
        <a:shade val="80000"/>
      </a:schemeClr>
    </dgm:linClrLst>
    <dgm:effectClrLst/>
    <dgm:txLinClrLst/>
    <dgm:txFillClrLst meth="repeat">
      <a:schemeClr val="tx1"/>
    </dgm:txFillClrLst>
    <dgm:txEffectClrLst/>
  </dgm:styleLbl>
  <dgm:styleLbl name="parChTrans1D4">
    <dgm:fillClrLst meth="repeat">
      <a:schemeClr val="dk1"/>
    </dgm:fillClrLst>
    <dgm:linClrLst meth="repeat">
      <a:schemeClr val="dk1">
        <a:shade val="80000"/>
      </a:schemeClr>
    </dgm:linClrLst>
    <dgm:effectClrLst/>
    <dgm:txLinClrLst/>
    <dgm:txFillClrLst meth="repeat">
      <a:schemeClr val="tx1"/>
    </dgm:txFillClrLst>
    <dgm:txEffectClrLst/>
  </dgm:styleLbl>
  <dgm:styleLbl name="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con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align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trAlignAcc1">
    <dgm:fillClrLst meth="repeat">
      <a:schemeClr val="dk1">
        <a:alpha val="40000"/>
        <a:tint val="40000"/>
      </a:schemeClr>
    </dgm:fillClrLst>
    <dgm:linClrLst meth="repeat">
      <a:schemeClr val="dk1"/>
    </dgm:linClrLst>
    <dgm:effectClrLst/>
    <dgm:txLinClrLst/>
    <dgm:txFillClrLst meth="repeat">
      <a:schemeClr val="dk1"/>
    </dgm:txFillClrLst>
    <dgm:txEffectClrLst/>
  </dgm:styleLbl>
  <dgm:styleLbl name="b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solidFgAcc1">
    <dgm:fillClrLst meth="repeat">
      <a:schemeClr val="lt1"/>
    </dgm:fillClrLst>
    <dgm:linClrLst meth="repeat">
      <a:schemeClr val="dk1"/>
    </dgm:linClrLst>
    <dgm:effectClrLst/>
    <dgm:txLinClrLst/>
    <dgm:txFillClrLst meth="repeat">
      <a:schemeClr val="dk1"/>
    </dgm:txFillClrLst>
    <dgm:txEffectClrLst/>
  </dgm:styleLbl>
  <dgm:styleLbl name="solidAlignAcc1">
    <dgm:fillClrLst meth="repeat">
      <a:schemeClr val="lt1"/>
    </dgm:fillClrLst>
    <dgm:linClrLst meth="repeat">
      <a:schemeClr val="dk1"/>
    </dgm:linClrLst>
    <dgm:effectClrLst/>
    <dgm:txLinClrLst/>
    <dgm:txFillClrLst meth="repeat">
      <a:schemeClr val="dk1"/>
    </dgm:txFillClrLst>
    <dgm:txEffectClrLst/>
  </dgm:styleLbl>
  <dgm:styleLbl name="solidBgAcc1">
    <dgm:fillClrLst meth="repeat">
      <a:schemeClr val="lt1"/>
    </dgm:fillClrLst>
    <dgm:linClrLst meth="repeat">
      <a:schemeClr val="dk1"/>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fgAcc0">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2">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3">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4">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bgShp">
    <dgm:fillClrLst meth="repeat">
      <a:schemeClr val="dk1">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dk1">
        <a:shade val="80000"/>
      </a:schemeClr>
    </dgm:fillClrLst>
    <dgm:linClrLst meth="repeat">
      <a:schemeClr val="dk1"/>
    </dgm:linClrLst>
    <dgm:effectClrLst/>
    <dgm:txLinClrLst/>
    <dgm:txFillClrLst meth="repeat">
      <a:schemeClr val="lt1"/>
    </dgm:txFillClrLst>
    <dgm:txEffectClrLst/>
  </dgm:styleLbl>
  <dgm:styleLbl name="trBgShp">
    <dgm:fillClrLst meth="repeat">
      <a:schemeClr val="dk1">
        <a:tint val="50000"/>
        <a:alpha val="40000"/>
      </a:schemeClr>
    </dgm:fillClrLst>
    <dgm:linClrLst meth="repeat">
      <a:schemeClr val="dk1"/>
    </dgm:linClrLst>
    <dgm:effectClrLst/>
    <dgm:txLinClrLst/>
    <dgm:txFillClrLst meth="repeat">
      <a:schemeClr val="lt1"/>
    </dgm:txFillClrLst>
    <dgm:txEffectClrLst/>
  </dgm:styleLbl>
  <dgm:styleLbl name="fgShp">
    <dgm:fillClrLst meth="repeat">
      <a:schemeClr val="dk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21D7A928-E8F3-C249-B6BC-CF6AA98D2346}" type="doc">
      <dgm:prSet loTypeId="urn:microsoft.com/office/officeart/2005/8/layout/vProcess5" loCatId="" qsTypeId="urn:microsoft.com/office/officeart/2005/8/quickstyle/simple1#1" qsCatId="simple" csTypeId="urn:microsoft.com/office/officeart/2005/8/colors/accent0_1" csCatId="mainScheme" phldr="1"/>
      <dgm:spPr/>
    </dgm:pt>
    <dgm:pt modelId="{26421E6C-F7E9-E84E-A36E-2DAD9D23E6A1}">
      <dgm:prSet phldrT="[Text]"/>
      <dgm:spPr>
        <a:xfrm>
          <a:off x="0" y="64700"/>
          <a:ext cx="3843020" cy="616215"/>
        </a:xfrm>
        <a:solidFill>
          <a:sysClr val="window" lastClr="FFFFFF">
            <a:hueOff val="0"/>
            <a:satOff val="0"/>
            <a:lumOff val="0"/>
            <a:alphaOff val="0"/>
          </a:sysClr>
        </a:solidFill>
        <a:ln w="25400" cap="flat" cmpd="sng" algn="ctr">
          <a:solidFill>
            <a:sysClr val="windowText" lastClr="000000">
              <a:shade val="80000"/>
              <a:hueOff val="0"/>
              <a:satOff val="0"/>
              <a:lumOff val="0"/>
              <a:alphaOff val="0"/>
            </a:sysClr>
          </a:solidFill>
          <a:prstDash val="solid"/>
        </a:ln>
        <a:effectLst/>
      </dgm:spPr>
      <dgm:t>
        <a:bodyPr/>
        <a:lstStyle/>
        <a:p>
          <a:pPr algn="l"/>
          <a:r>
            <a:rPr lang="en-US">
              <a:solidFill>
                <a:sysClr val="windowText" lastClr="000000">
                  <a:hueOff val="0"/>
                  <a:satOff val="0"/>
                  <a:lumOff val="0"/>
                  <a:alphaOff val="0"/>
                </a:sysClr>
              </a:solidFill>
              <a:latin typeface="+mj-lt"/>
              <a:ea typeface="+mn-ea"/>
              <a:cs typeface="+mn-cs"/>
            </a:rPr>
            <a:t>Earth Station on Mobile Platform complies with </a:t>
          </a:r>
          <a:r>
            <a:rPr lang="en-US">
              <a:solidFill>
                <a:schemeClr val="tx1"/>
              </a:solidFill>
              <a:latin typeface="+mj-lt"/>
            </a:rPr>
            <a:t>E</a:t>
          </a:r>
          <a:r>
            <a:rPr lang="en-US">
              <a:solidFill>
                <a:schemeClr val="tx1"/>
              </a:solidFill>
              <a:latin typeface="+mj-lt"/>
              <a:cs typeface="Arial"/>
            </a:rPr>
            <a:t>CC Decision and ETSI Standard on ESOMPs and can be considered a typical uncoordinated FSS Earth station.</a:t>
          </a:r>
          <a:endParaRPr lang="en-US">
            <a:solidFill>
              <a:schemeClr val="tx1"/>
            </a:solidFill>
            <a:latin typeface="+mj-lt"/>
            <a:ea typeface="+mn-ea"/>
            <a:cs typeface="Arial"/>
          </a:endParaRPr>
        </a:p>
      </dgm:t>
    </dgm:pt>
    <dgm:pt modelId="{E02A48FE-620A-6E44-9FCB-6C509A899277}" type="parTrans" cxnId="{78168CDF-7FDB-BF44-A985-41B698F0FA49}">
      <dgm:prSet/>
      <dgm:spPr/>
      <dgm:t>
        <a:bodyPr/>
        <a:lstStyle/>
        <a:p>
          <a:pPr algn="l"/>
          <a:endParaRPr lang="en-US"/>
        </a:p>
      </dgm:t>
    </dgm:pt>
    <dgm:pt modelId="{58A2FE11-FA93-5547-A413-E81E4837B0E6}" type="sibTrans" cxnId="{78168CDF-7FDB-BF44-A985-41B698F0FA49}">
      <dgm:prSet/>
      <dgm:spPr>
        <a:xfrm>
          <a:off x="3358368" y="565426"/>
          <a:ext cx="484651" cy="484651"/>
        </a:xfrm>
        <a:solidFill>
          <a:sysClr val="window" lastClr="FFFFFF">
            <a:alpha val="90000"/>
            <a:tint val="40000"/>
            <a:hueOff val="0"/>
            <a:satOff val="0"/>
            <a:lumOff val="0"/>
            <a:alphaOff val="0"/>
          </a:sysClr>
        </a:solidFill>
        <a:ln w="25400" cap="flat" cmpd="sng" algn="ctr">
          <a:solidFill>
            <a:sysClr val="windowText" lastClr="000000">
              <a:alpha val="90000"/>
              <a:hueOff val="0"/>
              <a:satOff val="0"/>
              <a:lumOff val="0"/>
              <a:alphaOff val="0"/>
            </a:sysClr>
          </a:solidFill>
          <a:prstDash val="solid"/>
        </a:ln>
        <a:effectLst/>
      </dgm:spPr>
      <dgm:t>
        <a:bodyPr/>
        <a:lstStyle/>
        <a:p>
          <a:pPr algn="l"/>
          <a:endParaRPr lang="en-US">
            <a:solidFill>
              <a:sysClr val="windowText" lastClr="000000">
                <a:hueOff val="0"/>
                <a:satOff val="0"/>
                <a:lumOff val="0"/>
                <a:alphaOff val="0"/>
              </a:sysClr>
            </a:solidFill>
            <a:latin typeface="Calibri"/>
            <a:ea typeface="+mn-ea"/>
            <a:cs typeface="+mn-cs"/>
          </a:endParaRPr>
        </a:p>
      </dgm:t>
    </dgm:pt>
    <dgm:pt modelId="{AD039BE0-7A55-1347-8DA5-99E45B5D47C0}">
      <dgm:prSet phldrT="[Text]"/>
      <dgm:spPr>
        <a:xfrm>
          <a:off x="678179" y="1739772"/>
          <a:ext cx="3843020" cy="745617"/>
        </a:xfrm>
        <a:solidFill>
          <a:sysClr val="window" lastClr="FFFFFF">
            <a:hueOff val="0"/>
            <a:satOff val="0"/>
            <a:lumOff val="0"/>
            <a:alphaOff val="0"/>
          </a:sysClr>
        </a:solidFill>
        <a:ln w="25400" cap="flat" cmpd="sng" algn="ctr">
          <a:solidFill>
            <a:sysClr val="windowText" lastClr="000000">
              <a:shade val="80000"/>
              <a:hueOff val="0"/>
              <a:satOff val="0"/>
              <a:lumOff val="0"/>
              <a:alphaOff val="0"/>
            </a:sysClr>
          </a:solidFill>
          <a:prstDash val="solid"/>
        </a:ln>
        <a:effectLst/>
      </dgm:spPr>
      <dgm:t>
        <a:bodyPr/>
        <a:lstStyle/>
        <a:p>
          <a:pPr algn="l"/>
          <a:r>
            <a:rPr lang="en-US">
              <a:solidFill>
                <a:schemeClr val="tx1"/>
              </a:solidFill>
              <a:latin typeface="+mj-lt"/>
              <a:ea typeface="+mn-ea"/>
              <a:cs typeface="+mn-cs"/>
            </a:rPr>
            <a:t>Earth Station on Mobile Platform </a:t>
          </a:r>
          <a:r>
            <a:rPr lang="en-US">
              <a:solidFill>
                <a:schemeClr val="tx1"/>
              </a:solidFill>
              <a:latin typeface="+mj-lt"/>
            </a:rPr>
            <a:t>may </a:t>
          </a:r>
          <a:r>
            <a:rPr lang="en-US">
              <a:solidFill>
                <a:srgbClr val="000000"/>
              </a:solidFill>
              <a:latin typeface="+mj-lt"/>
            </a:rPr>
            <a:t>operate within the bands available for uncoordinated FSS earth stations, does not require individual license and can circulate freely in administrations implementing the applicable Decisions.</a:t>
          </a:r>
          <a:endParaRPr lang="en-US">
            <a:solidFill>
              <a:srgbClr val="000000"/>
            </a:solidFill>
            <a:latin typeface="+mj-lt"/>
            <a:ea typeface="+mn-ea"/>
            <a:cs typeface="+mn-cs"/>
          </a:endParaRPr>
        </a:p>
      </dgm:t>
    </dgm:pt>
    <dgm:pt modelId="{9EBB3F91-1823-B34B-A1F3-9ACE4EEEC548}" type="parTrans" cxnId="{2450F301-C753-4647-9CEB-C4B099196569}">
      <dgm:prSet/>
      <dgm:spPr/>
      <dgm:t>
        <a:bodyPr/>
        <a:lstStyle/>
        <a:p>
          <a:pPr algn="l"/>
          <a:endParaRPr lang="en-US"/>
        </a:p>
      </dgm:t>
    </dgm:pt>
    <dgm:pt modelId="{206C25BC-E38C-F242-B052-063FA11B3FFA}" type="sibTrans" cxnId="{2450F301-C753-4647-9CEB-C4B099196569}">
      <dgm:prSet/>
      <dgm:spPr/>
      <dgm:t>
        <a:bodyPr/>
        <a:lstStyle/>
        <a:p>
          <a:pPr algn="l"/>
          <a:endParaRPr lang="en-US"/>
        </a:p>
      </dgm:t>
    </dgm:pt>
    <dgm:pt modelId="{D66EC712-026B-204A-A753-3624B9057617}" type="pres">
      <dgm:prSet presAssocID="{21D7A928-E8F3-C249-B6BC-CF6AA98D2346}" presName="outerComposite" presStyleCnt="0">
        <dgm:presLayoutVars>
          <dgm:chMax val="5"/>
          <dgm:dir/>
          <dgm:resizeHandles val="exact"/>
        </dgm:presLayoutVars>
      </dgm:prSet>
      <dgm:spPr/>
    </dgm:pt>
    <dgm:pt modelId="{5F4B9B76-90A1-8140-8CE4-A223D878936A}" type="pres">
      <dgm:prSet presAssocID="{21D7A928-E8F3-C249-B6BC-CF6AA98D2346}" presName="dummyMaxCanvas" presStyleCnt="0">
        <dgm:presLayoutVars/>
      </dgm:prSet>
      <dgm:spPr/>
    </dgm:pt>
    <dgm:pt modelId="{F75823B9-A57C-A248-9042-FBFB59636D28}" type="pres">
      <dgm:prSet presAssocID="{21D7A928-E8F3-C249-B6BC-CF6AA98D2346}" presName="TwoNodes_1" presStyleLbl="node1" presStyleIdx="0" presStyleCnt="2">
        <dgm:presLayoutVars>
          <dgm:bulletEnabled val="1"/>
        </dgm:presLayoutVars>
      </dgm:prSet>
      <dgm:spPr>
        <a:prstGeom prst="roundRect">
          <a:avLst>
            <a:gd name="adj" fmla="val 10000"/>
          </a:avLst>
        </a:prstGeom>
      </dgm:spPr>
      <dgm:t>
        <a:bodyPr/>
        <a:lstStyle/>
        <a:p>
          <a:endParaRPr lang="en-US"/>
        </a:p>
      </dgm:t>
    </dgm:pt>
    <dgm:pt modelId="{A3F6B655-82BA-B645-9AF5-D7653C845BCD}" type="pres">
      <dgm:prSet presAssocID="{21D7A928-E8F3-C249-B6BC-CF6AA98D2346}" presName="TwoNodes_2" presStyleLbl="node1" presStyleIdx="1" presStyleCnt="2" custLinFactNeighborX="471" custLinFactNeighborY="-4667">
        <dgm:presLayoutVars>
          <dgm:bulletEnabled val="1"/>
        </dgm:presLayoutVars>
      </dgm:prSet>
      <dgm:spPr>
        <a:prstGeom prst="roundRect">
          <a:avLst>
            <a:gd name="adj" fmla="val 10000"/>
          </a:avLst>
        </a:prstGeom>
      </dgm:spPr>
      <dgm:t>
        <a:bodyPr/>
        <a:lstStyle/>
        <a:p>
          <a:endParaRPr lang="en-US"/>
        </a:p>
      </dgm:t>
    </dgm:pt>
    <dgm:pt modelId="{C2AAF432-2D87-EE40-862E-1EAFFB406A9B}" type="pres">
      <dgm:prSet presAssocID="{21D7A928-E8F3-C249-B6BC-CF6AA98D2346}" presName="TwoConn_1-2" presStyleLbl="fgAccFollowNode1" presStyleIdx="0" presStyleCnt="1">
        <dgm:presLayoutVars>
          <dgm:bulletEnabled val="1"/>
        </dgm:presLayoutVars>
      </dgm:prSet>
      <dgm:spPr>
        <a:prstGeom prst="downArrow">
          <a:avLst>
            <a:gd name="adj1" fmla="val 55000"/>
            <a:gd name="adj2" fmla="val 45000"/>
          </a:avLst>
        </a:prstGeom>
      </dgm:spPr>
      <dgm:t>
        <a:bodyPr/>
        <a:lstStyle/>
        <a:p>
          <a:endParaRPr lang="en-US"/>
        </a:p>
      </dgm:t>
    </dgm:pt>
    <dgm:pt modelId="{D39C0156-7431-1B4D-B2C9-77C2B587A21D}" type="pres">
      <dgm:prSet presAssocID="{21D7A928-E8F3-C249-B6BC-CF6AA98D2346}" presName="TwoNodes_1_text" presStyleLbl="node1" presStyleIdx="1" presStyleCnt="2">
        <dgm:presLayoutVars>
          <dgm:bulletEnabled val="1"/>
        </dgm:presLayoutVars>
      </dgm:prSet>
      <dgm:spPr/>
      <dgm:t>
        <a:bodyPr/>
        <a:lstStyle/>
        <a:p>
          <a:endParaRPr lang="en-US"/>
        </a:p>
      </dgm:t>
    </dgm:pt>
    <dgm:pt modelId="{29848F9C-F538-9E48-AE51-3FF9C61ED886}" type="pres">
      <dgm:prSet presAssocID="{21D7A928-E8F3-C249-B6BC-CF6AA98D2346}" presName="TwoNodes_2_text" presStyleLbl="node1" presStyleIdx="1" presStyleCnt="2">
        <dgm:presLayoutVars>
          <dgm:bulletEnabled val="1"/>
        </dgm:presLayoutVars>
      </dgm:prSet>
      <dgm:spPr/>
      <dgm:t>
        <a:bodyPr/>
        <a:lstStyle/>
        <a:p>
          <a:endParaRPr lang="en-US"/>
        </a:p>
      </dgm:t>
    </dgm:pt>
  </dgm:ptLst>
  <dgm:cxnLst>
    <dgm:cxn modelId="{5710B309-0435-4D85-A174-839E72760EE0}" type="presOf" srcId="{58A2FE11-FA93-5547-A413-E81E4837B0E6}" destId="{C2AAF432-2D87-EE40-862E-1EAFFB406A9B}" srcOrd="0" destOrd="0" presId="urn:microsoft.com/office/officeart/2005/8/layout/vProcess5"/>
    <dgm:cxn modelId="{78168CDF-7FDB-BF44-A985-41B698F0FA49}" srcId="{21D7A928-E8F3-C249-B6BC-CF6AA98D2346}" destId="{26421E6C-F7E9-E84E-A36E-2DAD9D23E6A1}" srcOrd="0" destOrd="0" parTransId="{E02A48FE-620A-6E44-9FCB-6C509A899277}" sibTransId="{58A2FE11-FA93-5547-A413-E81E4837B0E6}"/>
    <dgm:cxn modelId="{B856FAD6-81FC-4C65-BBD8-8A855DE4FB08}" type="presOf" srcId="{AD039BE0-7A55-1347-8DA5-99E45B5D47C0}" destId="{29848F9C-F538-9E48-AE51-3FF9C61ED886}" srcOrd="1" destOrd="0" presId="urn:microsoft.com/office/officeart/2005/8/layout/vProcess5"/>
    <dgm:cxn modelId="{FCAFA130-9877-4078-BA5B-8B4B23873215}" type="presOf" srcId="{26421E6C-F7E9-E84E-A36E-2DAD9D23E6A1}" destId="{D39C0156-7431-1B4D-B2C9-77C2B587A21D}" srcOrd="1" destOrd="0" presId="urn:microsoft.com/office/officeart/2005/8/layout/vProcess5"/>
    <dgm:cxn modelId="{579F3842-3EC2-4FC2-ABA7-F86FF3A2B136}" type="presOf" srcId="{21D7A928-E8F3-C249-B6BC-CF6AA98D2346}" destId="{D66EC712-026B-204A-A753-3624B9057617}" srcOrd="0" destOrd="0" presId="urn:microsoft.com/office/officeart/2005/8/layout/vProcess5"/>
    <dgm:cxn modelId="{89779F5B-735D-424D-B0E1-94E060F3442A}" type="presOf" srcId="{26421E6C-F7E9-E84E-A36E-2DAD9D23E6A1}" destId="{F75823B9-A57C-A248-9042-FBFB59636D28}" srcOrd="0" destOrd="0" presId="urn:microsoft.com/office/officeart/2005/8/layout/vProcess5"/>
    <dgm:cxn modelId="{E60801D8-2153-47AD-9F16-B64E317A8A7F}" type="presOf" srcId="{AD039BE0-7A55-1347-8DA5-99E45B5D47C0}" destId="{A3F6B655-82BA-B645-9AF5-D7653C845BCD}" srcOrd="0" destOrd="0" presId="urn:microsoft.com/office/officeart/2005/8/layout/vProcess5"/>
    <dgm:cxn modelId="{2450F301-C753-4647-9CEB-C4B099196569}" srcId="{21D7A928-E8F3-C249-B6BC-CF6AA98D2346}" destId="{AD039BE0-7A55-1347-8DA5-99E45B5D47C0}" srcOrd="1" destOrd="0" parTransId="{9EBB3F91-1823-B34B-A1F3-9ACE4EEEC548}" sibTransId="{206C25BC-E38C-F242-B052-063FA11B3FFA}"/>
    <dgm:cxn modelId="{B87A8A7F-4F95-44F2-A288-A77EA4711081}" type="presParOf" srcId="{D66EC712-026B-204A-A753-3624B9057617}" destId="{5F4B9B76-90A1-8140-8CE4-A223D878936A}" srcOrd="0" destOrd="0" presId="urn:microsoft.com/office/officeart/2005/8/layout/vProcess5"/>
    <dgm:cxn modelId="{8F1B60A2-49BC-4716-BD39-5DA6B78F6B41}" type="presParOf" srcId="{D66EC712-026B-204A-A753-3624B9057617}" destId="{F75823B9-A57C-A248-9042-FBFB59636D28}" srcOrd="1" destOrd="0" presId="urn:microsoft.com/office/officeart/2005/8/layout/vProcess5"/>
    <dgm:cxn modelId="{0FDB765E-3209-4520-804C-1A00B5F51080}" type="presParOf" srcId="{D66EC712-026B-204A-A753-3624B9057617}" destId="{A3F6B655-82BA-B645-9AF5-D7653C845BCD}" srcOrd="2" destOrd="0" presId="urn:microsoft.com/office/officeart/2005/8/layout/vProcess5"/>
    <dgm:cxn modelId="{FB8C6137-EE6E-4F79-B879-7AB21D9CDB7F}" type="presParOf" srcId="{D66EC712-026B-204A-A753-3624B9057617}" destId="{C2AAF432-2D87-EE40-862E-1EAFFB406A9B}" srcOrd="3" destOrd="0" presId="urn:microsoft.com/office/officeart/2005/8/layout/vProcess5"/>
    <dgm:cxn modelId="{992D3696-0564-4ABC-98AA-6996993CF5BB}" type="presParOf" srcId="{D66EC712-026B-204A-A753-3624B9057617}" destId="{D39C0156-7431-1B4D-B2C9-77C2B587A21D}" srcOrd="4" destOrd="0" presId="urn:microsoft.com/office/officeart/2005/8/layout/vProcess5"/>
    <dgm:cxn modelId="{B46DF368-ADF6-4C44-8E9B-51BCFF9F0147}" type="presParOf" srcId="{D66EC712-026B-204A-A753-3624B9057617}" destId="{29848F9C-F538-9E48-AE51-3FF9C61ED886}" srcOrd="5" destOrd="0" presId="urn:microsoft.com/office/officeart/2005/8/layout/vProcess5"/>
  </dgm:cxnLst>
  <dgm:bg/>
  <dgm:whole/>
  <dgm:extLst>
    <a:ext uri="http://schemas.microsoft.com/office/drawing/2008/diagram">
      <dsp:dataModelExt xmlns:dsp="http://schemas.microsoft.com/office/drawing/2008/diagram" relId="rId17"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F75823B9-A57C-A248-9042-FBFB59636D28}">
      <dsp:nvSpPr>
        <dsp:cNvPr id="0" name=""/>
        <dsp:cNvSpPr/>
      </dsp:nvSpPr>
      <dsp:spPr>
        <a:xfrm>
          <a:off x="0" y="0"/>
          <a:ext cx="3846564" cy="1049040"/>
        </a:xfrm>
        <a:prstGeom prst="roundRect">
          <a:avLst>
            <a:gd name="adj" fmla="val 10000"/>
          </a:avLst>
        </a:prstGeom>
        <a:solidFill>
          <a:sysClr val="window" lastClr="FFFFFF">
            <a:hueOff val="0"/>
            <a:satOff val="0"/>
            <a:lumOff val="0"/>
            <a:alphaOff val="0"/>
          </a:sysClr>
        </a:solidFill>
        <a:ln w="25400" cap="flat" cmpd="sng" algn="ctr">
          <a:solidFill>
            <a:sysClr val="windowText" lastClr="000000">
              <a:shade val="80000"/>
              <a:hueOff val="0"/>
              <a:satOff val="0"/>
              <a:lumOff val="0"/>
              <a:alphaOff val="0"/>
            </a:sys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1910" tIns="41910" rIns="41910" bIns="41910" numCol="1" spcCol="1270" anchor="ctr" anchorCtr="0">
          <a:noAutofit/>
        </a:bodyPr>
        <a:lstStyle/>
        <a:p>
          <a:pPr lvl="0" algn="l" defTabSz="488950">
            <a:lnSpc>
              <a:spcPct val="90000"/>
            </a:lnSpc>
            <a:spcBef>
              <a:spcPct val="0"/>
            </a:spcBef>
            <a:spcAft>
              <a:spcPct val="35000"/>
            </a:spcAft>
          </a:pPr>
          <a:r>
            <a:rPr lang="en-US" sz="1100" kern="1200">
              <a:solidFill>
                <a:sysClr val="windowText" lastClr="000000">
                  <a:hueOff val="0"/>
                  <a:satOff val="0"/>
                  <a:lumOff val="0"/>
                  <a:alphaOff val="0"/>
                </a:sysClr>
              </a:solidFill>
              <a:latin typeface="+mj-lt"/>
              <a:ea typeface="+mn-ea"/>
              <a:cs typeface="+mn-cs"/>
            </a:rPr>
            <a:t>Earth Station on Mobile Platform complies with </a:t>
          </a:r>
          <a:r>
            <a:rPr lang="en-US" sz="1100" kern="1200">
              <a:solidFill>
                <a:schemeClr val="tx1"/>
              </a:solidFill>
              <a:latin typeface="+mj-lt"/>
            </a:rPr>
            <a:t>E</a:t>
          </a:r>
          <a:r>
            <a:rPr lang="en-US" sz="1100" kern="1200">
              <a:solidFill>
                <a:schemeClr val="tx1"/>
              </a:solidFill>
              <a:latin typeface="+mj-lt"/>
              <a:cs typeface="Arial"/>
            </a:rPr>
            <a:t>CC Decision and ETSI Standard on ESOMPs and can be considered a typical uncoordinated FSS Earth station.</a:t>
          </a:r>
          <a:endParaRPr lang="en-US" sz="1100" kern="1200">
            <a:solidFill>
              <a:schemeClr val="tx1"/>
            </a:solidFill>
            <a:latin typeface="+mj-lt"/>
            <a:ea typeface="+mn-ea"/>
            <a:cs typeface="Arial"/>
          </a:endParaRPr>
        </a:p>
      </dsp:txBody>
      <dsp:txXfrm>
        <a:off x="30725" y="30725"/>
        <a:ext cx="2762300" cy="987590"/>
      </dsp:txXfrm>
    </dsp:sp>
    <dsp:sp modelId="{A3F6B655-82BA-B645-9AF5-D7653C845BCD}">
      <dsp:nvSpPr>
        <dsp:cNvPr id="0" name=""/>
        <dsp:cNvSpPr/>
      </dsp:nvSpPr>
      <dsp:spPr>
        <a:xfrm>
          <a:off x="678805" y="1233201"/>
          <a:ext cx="3846564" cy="1049040"/>
        </a:xfrm>
        <a:prstGeom prst="roundRect">
          <a:avLst>
            <a:gd name="adj" fmla="val 10000"/>
          </a:avLst>
        </a:prstGeom>
        <a:solidFill>
          <a:sysClr val="window" lastClr="FFFFFF">
            <a:hueOff val="0"/>
            <a:satOff val="0"/>
            <a:lumOff val="0"/>
            <a:alphaOff val="0"/>
          </a:sysClr>
        </a:solidFill>
        <a:ln w="25400" cap="flat" cmpd="sng" algn="ctr">
          <a:solidFill>
            <a:sysClr val="windowText" lastClr="000000">
              <a:shade val="80000"/>
              <a:hueOff val="0"/>
              <a:satOff val="0"/>
              <a:lumOff val="0"/>
              <a:alphaOff val="0"/>
            </a:sys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1910" tIns="41910" rIns="41910" bIns="41910" numCol="1" spcCol="1270" anchor="ctr" anchorCtr="0">
          <a:noAutofit/>
        </a:bodyPr>
        <a:lstStyle/>
        <a:p>
          <a:pPr lvl="0" algn="l" defTabSz="488950">
            <a:lnSpc>
              <a:spcPct val="90000"/>
            </a:lnSpc>
            <a:spcBef>
              <a:spcPct val="0"/>
            </a:spcBef>
            <a:spcAft>
              <a:spcPct val="35000"/>
            </a:spcAft>
          </a:pPr>
          <a:r>
            <a:rPr lang="en-US" sz="1100" kern="1200">
              <a:solidFill>
                <a:schemeClr val="tx1"/>
              </a:solidFill>
              <a:latin typeface="+mj-lt"/>
              <a:ea typeface="+mn-ea"/>
              <a:cs typeface="+mn-cs"/>
            </a:rPr>
            <a:t>Earth Station on Mobile Platform </a:t>
          </a:r>
          <a:r>
            <a:rPr lang="en-US" sz="1100" kern="1200">
              <a:solidFill>
                <a:schemeClr val="tx1"/>
              </a:solidFill>
              <a:latin typeface="+mj-lt"/>
            </a:rPr>
            <a:t>may </a:t>
          </a:r>
          <a:r>
            <a:rPr lang="en-US" sz="1100" kern="1200">
              <a:solidFill>
                <a:srgbClr val="000000"/>
              </a:solidFill>
              <a:latin typeface="+mj-lt"/>
            </a:rPr>
            <a:t>operate within the bands available for uncoordinated FSS earth stations, does not require individual license and can circulate freely in administrations implementing the applicable Decisions.</a:t>
          </a:r>
          <a:endParaRPr lang="en-US" sz="1100" kern="1200">
            <a:solidFill>
              <a:srgbClr val="000000"/>
            </a:solidFill>
            <a:latin typeface="+mj-lt"/>
            <a:ea typeface="+mn-ea"/>
            <a:cs typeface="+mn-cs"/>
          </a:endParaRPr>
        </a:p>
      </dsp:txBody>
      <dsp:txXfrm>
        <a:off x="709530" y="1263926"/>
        <a:ext cx="2424432" cy="987590"/>
      </dsp:txXfrm>
    </dsp:sp>
    <dsp:sp modelId="{C2AAF432-2D87-EE40-862E-1EAFFB406A9B}">
      <dsp:nvSpPr>
        <dsp:cNvPr id="0" name=""/>
        <dsp:cNvSpPr/>
      </dsp:nvSpPr>
      <dsp:spPr>
        <a:xfrm>
          <a:off x="3164688" y="824662"/>
          <a:ext cx="681876" cy="681876"/>
        </a:xfrm>
        <a:prstGeom prst="downArrow">
          <a:avLst>
            <a:gd name="adj1" fmla="val 55000"/>
            <a:gd name="adj2" fmla="val 45000"/>
          </a:avLst>
        </a:prstGeom>
        <a:solidFill>
          <a:sysClr val="window" lastClr="FFFFFF">
            <a:alpha val="90000"/>
            <a:tint val="40000"/>
            <a:hueOff val="0"/>
            <a:satOff val="0"/>
            <a:lumOff val="0"/>
            <a:alphaOff val="0"/>
          </a:sysClr>
        </a:solidFill>
        <a:ln w="25400" cap="flat" cmpd="sng" algn="ctr">
          <a:solidFill>
            <a:sysClr val="windowText" lastClr="000000">
              <a:alpha val="90000"/>
              <a:hueOff val="0"/>
              <a:satOff val="0"/>
              <a:lumOff val="0"/>
              <a:alphaOff val="0"/>
            </a:sysClr>
          </a:solidFill>
          <a:prstDash val="solid"/>
        </a:ln>
        <a:effectLst/>
      </dsp:spPr>
      <dsp:style>
        <a:lnRef idx="2">
          <a:scrgbClr r="0" g="0" b="0"/>
        </a:lnRef>
        <a:fillRef idx="1">
          <a:scrgbClr r="0" g="0" b="0"/>
        </a:fillRef>
        <a:effectRef idx="0">
          <a:scrgbClr r="0" g="0" b="0"/>
        </a:effectRef>
        <a:fontRef idx="minor"/>
      </dsp:style>
      <dsp:txBody>
        <a:bodyPr spcFirstLastPara="0" vert="horz" wrap="square" lIns="39370" tIns="39370" rIns="39370" bIns="39370" numCol="1" spcCol="1270" anchor="ctr" anchorCtr="0">
          <a:noAutofit/>
        </a:bodyPr>
        <a:lstStyle/>
        <a:p>
          <a:pPr lvl="0" algn="l" defTabSz="1377950">
            <a:lnSpc>
              <a:spcPct val="90000"/>
            </a:lnSpc>
            <a:spcBef>
              <a:spcPct val="0"/>
            </a:spcBef>
            <a:spcAft>
              <a:spcPct val="35000"/>
            </a:spcAft>
          </a:pPr>
          <a:endParaRPr lang="en-US" sz="3100" kern="1200">
            <a:solidFill>
              <a:sysClr val="windowText" lastClr="000000">
                <a:hueOff val="0"/>
                <a:satOff val="0"/>
                <a:lumOff val="0"/>
                <a:alphaOff val="0"/>
              </a:sysClr>
            </a:solidFill>
            <a:latin typeface="Calibri"/>
            <a:ea typeface="+mn-ea"/>
            <a:cs typeface="+mn-cs"/>
          </a:endParaRPr>
        </a:p>
      </dsp:txBody>
      <dsp:txXfrm>
        <a:off x="3318110" y="824662"/>
        <a:ext cx="375032" cy="513112"/>
      </dsp:txXfrm>
    </dsp:sp>
  </dsp:spTree>
</dsp:drawing>
</file>

<file path=word/diagrams/layout1.xml><?xml version="1.0" encoding="utf-8"?>
<dgm:layoutDef xmlns:dgm="http://schemas.openxmlformats.org/drawingml/2006/diagram" xmlns:a="http://schemas.openxmlformats.org/drawingml/2006/main" uniqueId="urn:microsoft.com/office/officeart/2005/8/layout/vProcess5">
  <dgm:title val=""/>
  <dgm:desc val=""/>
  <dgm:catLst>
    <dgm:cat type="process" pri="14000"/>
  </dgm:catLst>
  <dgm:sampData>
    <dgm:dataModel>
      <dgm:ptLst>
        <dgm:pt modelId="0" type="doc"/>
        <dgm:pt modelId="1">
          <dgm:prSet phldr="1"/>
        </dgm:pt>
        <dgm:pt modelId="2">
          <dgm:prSet phldr="1"/>
        </dgm:pt>
        <dgm:pt modelId="3">
          <dgm:prSet phldr="1"/>
        </dgm:pt>
      </dgm:ptLst>
      <dgm:cxnLst>
        <dgm:cxn modelId="5" srcId="0" destId="1" srcOrd="0" destOrd="0"/>
        <dgm:cxn modelId="6" srcId="0" destId="2" srcOrd="1" destOrd="0"/>
        <dgm:cxn modelId="7" srcId="0" destId="3" srcOrd="2" destOrd="0"/>
      </dgm:cxn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6" srcId="0" destId="1" srcOrd="0" destOrd="0"/>
        <dgm:cxn modelId="7" srcId="0" destId="2" srcOrd="1" destOrd="0"/>
        <dgm:cxn modelId="8" srcId="0" destId="3" srcOrd="2" destOrd="0"/>
        <dgm:cxn modelId="9" srcId="0" destId="4" srcOrd="3" destOrd="0"/>
      </dgm:cxnLst>
      <dgm:bg/>
      <dgm:whole/>
    </dgm:dataModel>
  </dgm:clrData>
  <dgm:layoutNode name="outerComposite">
    <dgm:varLst>
      <dgm:chMax val="5"/>
      <dgm:dir/>
      <dgm:resizeHandles val="exact"/>
    </dgm:varLst>
    <dgm:alg type="composite"/>
    <dgm:shape xmlns:r="http://schemas.openxmlformats.org/officeDocument/2006/relationships" r:blip="">
      <dgm:adjLst/>
    </dgm:shape>
    <dgm:presOf/>
    <dgm:choose name="Name0">
      <dgm:if name="Name1" func="var" arg="dir" op="equ" val="norm">
        <dgm:constrLst>
          <dgm:constr type="primFontSz" for="ch" ptType="node" op="equ" val="65"/>
          <dgm:constr type="w" for="ch" forName="dummyMaxCanvas" refType="w"/>
          <dgm:constr type="h" for="ch" forName="dummyMaxCanvas" refType="h"/>
          <dgm:constr type="w" for="ch" forName="OneNode_1" refType="w"/>
          <dgm:constr type="h" for="ch" forName="OneNode_1" refType="h" fact="0.5"/>
          <dgm:constr type="ctrY" for="ch" forName="OneNode_1" refType="h" fact="0.5"/>
          <dgm:constr type="w" for="ch" forName="TwoNodes_1" refType="w" fact="0.85"/>
          <dgm:constr type="h" for="ch" forName="TwoNodes_1" refType="h" fact="0.45"/>
          <dgm:constr type="t" for="ch" forName="TwoNodes_1"/>
          <dgm:constr type="l" for="ch" forName="TwoNodes_1"/>
          <dgm:constr type="w" for="ch" forName="TwoNodes_2" refType="w" fact="0.85"/>
          <dgm:constr type="h" for="ch" forName="TwoNodes_2" refType="h" fact="0.45"/>
          <dgm:constr type="b" for="ch" forName="TwoNodes_2" refType="h"/>
          <dgm:constr type="r" for="ch" forName="TwoNodes_2" refType="w"/>
          <dgm:constr type="w" for="ch" forName="TwoConn_1-2" refType="h" refFor="ch" refForName="TwoNodes_1" fact="0.65"/>
          <dgm:constr type="h" for="ch" forName="TwoConn_1-2" refType="h" refFor="ch" refForName="TwoNodes_1" fact="0.65"/>
          <dgm:constr type="ctrY" for="ch" forName="TwoConn_1-2" refType="h" fact="0.5"/>
          <dgm:constr type="r" for="ch" forName="TwoConn_1-2" refType="r" refFor="ch" refForName="TwoNodes_1"/>
          <dgm:constr type="r" for="ch" forName="TwoNodes_1_text" refType="l" refFor="ch" refForName="TwoConn_1-2"/>
          <dgm:constr type="rOff" for="ch" forName="TwoNodes_1_text" refType="w" refFor="ch" refForName="TwoConn_1-2" fact="-0.5"/>
          <dgm:constr type="t" for="ch" forName="TwoNodes_1_text" refType="t" refFor="ch" refForName="TwoNodes_1"/>
          <dgm:constr type="b" for="ch" forName="TwoNodes_1_text" refType="b" refFor="ch" refForName="TwoNodes_1"/>
          <dgm:constr type="l" for="ch" forName="TwoNodes_1_text" refType="l" refFor="ch" refForName="TwoNodes_1"/>
          <dgm:constr type="r" for="ch" forName="TwoNodes_2_text" refType="l" refFor="ch" refForName="TwoConn_1-2"/>
          <dgm:constr type="t" for="ch" forName="TwoNodes_2_text" refType="t" refFor="ch" refForName="TwoNodes_2"/>
          <dgm:constr type="b" for="ch" forName="TwoNodes_2_text" refType="b" refFor="ch" refForName="TwoNodes_2"/>
          <dgm:constr type="l" for="ch" forName="TwoNodes_2_text" refType="l" refFor="ch" refForName="TwoNodes_2"/>
          <dgm:constr type="w" for="ch" forName="ThreeNodes_1" refType="w" fact="0.85"/>
          <dgm:constr type="h" for="ch" forName="ThreeNodes_1" refType="h" fact="0.3"/>
          <dgm:constr type="t" for="ch" forName="ThreeNodes_1"/>
          <dgm:constr type="l" for="ch" forName="ThreeNodes_1"/>
          <dgm:constr type="w" for="ch" forName="ThreeNodes_2" refType="w" fact="0.85"/>
          <dgm:constr type="h" for="ch" forName="ThreeNodes_2" refType="h" fact="0.3"/>
          <dgm:constr type="ctrY" for="ch" forName="ThreeNodes_2" refType="h" fact="0.5"/>
          <dgm:constr type="ctrX" for="ch" forName="ThreeNodes_2" refType="w" fact="0.5"/>
          <dgm:constr type="w" for="ch" forName="ThreeNodes_3" refType="w" fact="0.85"/>
          <dgm:constr type="h" for="ch" forName="ThreeNodes_3" refType="h" fact="0.3"/>
          <dgm:constr type="b" for="ch" forName="ThreeNodes_3" refType="h"/>
          <dgm:constr type="r" for="ch" forName="ThreeNodes_3" refType="w"/>
          <dgm:constr type="w" for="ch" forName="ThreeConn_1-2" refType="h" refFor="ch" refForName="ThreeNodes_1" fact="0.65"/>
          <dgm:constr type="h" for="ch" forName="ThreeConn_1-2" refType="h" refFor="ch" refForName="ThreeNodes_1" fact="0.65"/>
          <dgm:constr type="ctrY" for="ch" forName="ThreeConn_1-2" refType="h" fact="0.325"/>
          <dgm:constr type="r" for="ch" forName="ThreeConn_1-2" refType="r" refFor="ch" refForName="ThreeNodes_1"/>
          <dgm:constr type="w" for="ch" forName="ThreeConn_2-3" refType="h" refFor="ch" refForName="ThreeNodes_2" fact="0.65"/>
          <dgm:constr type="h" for="ch" forName="ThreeConn_2-3" refType="h" refFor="ch" refForName="ThreeNodes_2" fact="0.65"/>
          <dgm:constr type="ctrY" for="ch" forName="ThreeConn_2-3" refType="h" fact="0.673"/>
          <dgm:constr type="r" for="ch" forName="ThreeConn_2-3" refType="r" refFor="ch" refForName="ThreeNodes_2"/>
          <dgm:constr type="r" for="ch" forName="ThreeNodes_1_text" refType="l" refFor="ch" refForName="ThreeConn_1-2"/>
          <dgm:constr type="rOff" for="ch" forName="ThreeNodes_1_text" refType="w" refFor="ch" refForName="ThreeConn_1-2" fact="-0.57"/>
          <dgm:constr type="t" for="ch" forName="ThreeNodes_1_text" refType="t" refFor="ch" refForName="ThreeNodes_1"/>
          <dgm:constr type="b" for="ch" forName="ThreeNodes_1_text" refType="b" refFor="ch" refForName="ThreeNodes_1"/>
          <dgm:constr type="l" for="ch" forName="ThreeNodes_1_text" refType="l" refFor="ch" refForName="ThreeNodes_1"/>
          <dgm:constr type="r" for="ch" forName="ThreeNodes_2_text" refType="l" refFor="ch" refForName="ThreeConn_1-2"/>
          <dgm:constr type="t" for="ch" forName="ThreeNodes_2_text" refType="t" refFor="ch" refForName="ThreeNodes_2"/>
          <dgm:constr type="b" for="ch" forName="ThreeNodes_2_text" refType="b" refFor="ch" refForName="ThreeNodes_2"/>
          <dgm:constr type="l" for="ch" forName="ThreeNodes_2_text" refType="l" refFor="ch" refForName="ThreeNodes_2"/>
          <dgm:constr type="r" for="ch" forName="ThreeNodes_3_text" refType="l" refFor="ch" refForName="ThreeConn_2-3"/>
          <dgm:constr type="t" for="ch" forName="ThreeNodes_3_text" refType="t" refFor="ch" refForName="ThreeNodes_3"/>
          <dgm:constr type="b" for="ch" forName="ThreeNodes_3_text" refType="b" refFor="ch" refForName="ThreeNodes_3"/>
          <dgm:constr type="l" for="ch" forName="ThreeNodes_3_text" refType="l" refFor="ch" refForName="ThreeNodes_3"/>
          <dgm:constr type="w" for="ch" forName="FourNodes_1" refType="w" fact="0.8"/>
          <dgm:constr type="h" for="ch" forName="FourNodes_1" refType="h" fact="0.22"/>
          <dgm:constr type="t" for="ch" forName="FourNodes_1"/>
          <dgm:constr type="l" for="ch" forName="FourNodes_1"/>
          <dgm:constr type="w" for="ch" forName="FourNodes_2" refType="w" fact="0.8"/>
          <dgm:constr type="h" for="ch" forName="FourNodes_2" refType="h" fact="0.22"/>
          <dgm:constr type="ctrY" for="ch" forName="FourNodes_2" refType="h" fact="0.37"/>
          <dgm:constr type="ctrX" for="ch" forName="FourNodes_2" refType="w" fact="0.467"/>
          <dgm:constr type="w" for="ch" forName="FourNodes_3" refType="w" fact="0.8"/>
          <dgm:constr type="h" for="ch" forName="FourNodes_3" refType="h" fact="0.22"/>
          <dgm:constr type="ctrY" for="ch" forName="FourNodes_3" refType="h" fact="0.63"/>
          <dgm:constr type="ctrX" for="ch" forName="FourNodes_3" refType="w" fact="0.533"/>
          <dgm:constr type="w" for="ch" forName="FourNodes_4" refType="w" fact="0.8"/>
          <dgm:constr type="h" for="ch" forName="FourNodes_4" refType="h" fact="0.22"/>
          <dgm:constr type="b" for="ch" forName="FourNodes_4" refType="h"/>
          <dgm:constr type="r" for="ch" forName="FourNodes_4" refType="w"/>
          <dgm:constr type="w" for="ch" forName="FourConn_1-2" refType="h" refFor="ch" refForName="FourNodes_1" fact="0.65"/>
          <dgm:constr type="h" for="ch" forName="FourConn_1-2" refType="h" refFor="ch" refForName="FourNodes_1" fact="0.65"/>
          <dgm:constr type="ctrY" for="ch" forName="FourConn_1-2" refType="h" fact="0.24"/>
          <dgm:constr type="r" for="ch" forName="FourConn_1-2" refType="r" refFor="ch" refForName="FourNodes_1"/>
          <dgm:constr type="w" for="ch" forName="FourConn_2-3" refType="h" refFor="ch" refForName="FourNodes_2" fact="0.65"/>
          <dgm:constr type="h" for="ch" forName="FourConn_2-3" refType="h" refFor="ch" refForName="FourNodes_2" fact="0.65"/>
          <dgm:constr type="ctrY" for="ch" forName="FourConn_2-3" refType="h" fact="0.5"/>
          <dgm:constr type="r" for="ch" forName="FourConn_2-3" refType="r" refFor="ch" refForName="FourNodes_2"/>
          <dgm:constr type="w" for="ch" forName="FourConn_3-4" refType="h" refFor="ch" refForName="FourNodes_3" fact="0.65"/>
          <dgm:constr type="h" for="ch" forName="FourConn_3-4" refType="h" refFor="ch" refForName="FourNodes_3" fact="0.65"/>
          <dgm:constr type="ctrY" for="ch" forName="FourConn_3-4" refType="h" fact="0.76"/>
          <dgm:constr type="r" for="ch" forName="FourConn_3-4" refType="r" refFor="ch" refForName="FourNodes_3"/>
          <dgm:constr type="r" for="ch" forName="FourNodes_1_text" refType="l" refFor="ch" refForName="FourConn_1-2"/>
          <dgm:constr type="rOff" for="ch" forName="FourNodes_1_text" refType="w" refFor="ch" refForName="FourConn_1-2" fact="-0.7"/>
          <dgm:constr type="t" for="ch" forName="FourNodes_1_text" refType="t" refFor="ch" refForName="FourNodes_1"/>
          <dgm:constr type="b" for="ch" forName="FourNodes_1_text" refType="b" refFor="ch" refForName="FourNodes_1"/>
          <dgm:constr type="l" for="ch" forName="FourNodes_1_text" refType="l" refFor="ch" refForName="FourNodes_1"/>
          <dgm:constr type="r" for="ch" forName="FourNodes_2_text" refType="l" refFor="ch" refForName="FourConn_1-2"/>
          <dgm:constr type="t" for="ch" forName="FourNodes_2_text" refType="t" refFor="ch" refForName="FourNodes_2"/>
          <dgm:constr type="b" for="ch" forName="FourNodes_2_text" refType="b" refFor="ch" refForName="FourNodes_2"/>
          <dgm:constr type="l" for="ch" forName="FourNodes_2_text" refType="l" refFor="ch" refForName="FourNodes_2"/>
          <dgm:constr type="r" for="ch" forName="FourNodes_3_text" refType="l" refFor="ch" refForName="FourConn_2-3"/>
          <dgm:constr type="t" for="ch" forName="FourNodes_3_text" refType="t" refFor="ch" refForName="FourNodes_3"/>
          <dgm:constr type="b" for="ch" forName="FourNodes_3_text" refType="b" refFor="ch" refForName="FourNodes_3"/>
          <dgm:constr type="l" for="ch" forName="FourNodes_3_text" refType="l" refFor="ch" refForName="FourNodes_3"/>
          <dgm:constr type="r" for="ch" forName="FourNodes_4_text" refType="l" refFor="ch" refForName="FourConn_3-4"/>
          <dgm:constr type="t" for="ch" forName="FourNodes_4_text" refType="t" refFor="ch" refForName="FourNodes_4"/>
          <dgm:constr type="b" for="ch" forName="FourNodes_4_text" refType="b" refFor="ch" refForName="FourNodes_4"/>
          <dgm:constr type="l" for="ch" forName="FourNodes_4_text" refType="l" refFor="ch" refForName="FourNodes_4"/>
          <dgm:constr type="w" for="ch" forName="FiveNodes_1" refType="w" fact="0.77"/>
          <dgm:constr type="h" for="ch" forName="FiveNodes_1" refType="h" fact="0.18"/>
          <dgm:constr type="t" for="ch" forName="FiveNodes_1"/>
          <dgm:constr type="l" for="ch" forName="FiveNodes_1"/>
          <dgm:constr type="w" for="ch" forName="FiveNodes_2" refType="w" fact="0.77"/>
          <dgm:constr type="h" for="ch" forName="FiveNodes_2" refType="h" fact="0.18"/>
          <dgm:constr type="ctrY" for="ch" forName="FiveNodes_2" refType="h" fact="0.295"/>
          <dgm:constr type="ctrX" for="ch" forName="FiveNodes_2" refType="w" fact="0.4425"/>
          <dgm:constr type="w" for="ch" forName="FiveNodes_3" refType="w" fact="0.77"/>
          <dgm:constr type="h" for="ch" forName="FiveNodes_3" refType="h" fact="0.18"/>
          <dgm:constr type="ctrY" for="ch" forName="FiveNodes_3" refType="h" fact="0.5"/>
          <dgm:constr type="ctrX" for="ch" forName="FiveNodes_3" refType="w" fact="0.5"/>
          <dgm:constr type="w" for="ch" forName="FiveNodes_4" refType="w" fact="0.77"/>
          <dgm:constr type="h" for="ch" forName="FiveNodes_4" refType="h" fact="0.18"/>
          <dgm:constr type="ctrY" for="ch" forName="FiveNodes_4" refType="h" fact="0.705"/>
          <dgm:constr type="ctrX" for="ch" forName="FiveNodes_4" refType="w" fact="0.5575"/>
          <dgm:constr type="w" for="ch" forName="FiveNodes_5" refType="w" fact="0.77"/>
          <dgm:constr type="h" for="ch" forName="FiveNodes_5" refType="h" fact="0.18"/>
          <dgm:constr type="b" for="ch" forName="FiveNodes_5" refType="h"/>
          <dgm:constr type="r" for="ch" forName="FiveNodes_5" refType="w"/>
          <dgm:constr type="w" for="ch" forName="FiveConn_1-2" refType="h" refFor="ch" refForName="FiveNodes_1" fact="0.65"/>
          <dgm:constr type="h" for="ch" forName="FiveConn_1-2" refType="h" refFor="ch" refForName="FiveNodes_1" fact="0.65"/>
          <dgm:constr type="ctrY" for="ch" forName="FiveConn_1-2" refType="h" fact="0.19"/>
          <dgm:constr type="r" for="ch" forName="FiveConn_1-2" refType="r" refFor="ch" refForName="FiveNodes_1"/>
          <dgm:constr type="w" for="ch" forName="FiveConn_2-3" refType="h" refFor="ch" refForName="FiveNodes_2" fact="0.65"/>
          <dgm:constr type="h" for="ch" forName="FiveConn_2-3" refType="h" refFor="ch" refForName="FiveNodes_2" fact="0.65"/>
          <dgm:constr type="ctrY" for="ch" forName="FiveConn_2-3" refType="h" fact="0.395"/>
          <dgm:constr type="r" for="ch" forName="FiveConn_2-3" refType="r" refFor="ch" refForName="FiveNodes_2"/>
          <dgm:constr type="w" for="ch" forName="FiveConn_3-4" refType="h" refFor="ch" refForName="FiveNodes_3" fact="0.65"/>
          <dgm:constr type="h" for="ch" forName="FiveConn_3-4" refType="h" refFor="ch" refForName="FiveNodes_3" fact="0.65"/>
          <dgm:constr type="ctrY" for="ch" forName="FiveConn_3-4" refType="h" fact="0.597"/>
          <dgm:constr type="r" for="ch" forName="FiveConn_3-4" refType="r" refFor="ch" refForName="FiveNodes_3"/>
          <dgm:constr type="w" for="ch" forName="FiveConn_4-5" refType="h" refFor="ch" refForName="FiveNodes_4" fact="0.65"/>
          <dgm:constr type="h" for="ch" forName="FiveConn_4-5" refType="h" refFor="ch" refForName="FiveNodes_4" fact="0.65"/>
          <dgm:constr type="ctrY" for="ch" forName="FiveConn_4-5" refType="h" fact="0.804"/>
          <dgm:constr type="r" for="ch" forName="FiveConn_4-5" refType="r" refFor="ch" refForName="FiveNodes_4"/>
          <dgm:constr type="r" for="ch" forName="FiveNodes_1_text" refType="l" refFor="ch" refForName="FiveConn_1-2"/>
          <dgm:constr type="rOff" for="ch" forName="FiveNodes_1_text" refType="w" refFor="ch" refForName="FiveConn_1-2" fact="-0.75"/>
          <dgm:constr type="t" for="ch" forName="FiveNodes_1_text" refType="t" refFor="ch" refForName="FiveNodes_1"/>
          <dgm:constr type="b" for="ch" forName="FiveNodes_1_text" refType="b" refFor="ch" refForName="FiveNodes_1"/>
          <dgm:constr type="l" for="ch" forName="FiveNodes_1_text" refType="l" refFor="ch" refForName="FiveNodes_1"/>
          <dgm:constr type="r" for="ch" forName="FiveNodes_2_text" refType="l" refFor="ch" refForName="FiveConn_1-2"/>
          <dgm:constr type="t" for="ch" forName="FiveNodes_2_text" refType="t" refFor="ch" refForName="FiveNodes_2"/>
          <dgm:constr type="b" for="ch" forName="FiveNodes_2_text" refType="b" refFor="ch" refForName="FiveNodes_2"/>
          <dgm:constr type="l" for="ch" forName="FiveNodes_2_text" refType="l" refFor="ch" refForName="FiveNodes_2"/>
          <dgm:constr type="r" for="ch" forName="FiveNodes_3_text" refType="l" refFor="ch" refForName="FiveConn_2-3"/>
          <dgm:constr type="t" for="ch" forName="FiveNodes_3_text" refType="t" refFor="ch" refForName="FiveNodes_3"/>
          <dgm:constr type="b" for="ch" forName="FiveNodes_3_text" refType="b" refFor="ch" refForName="FiveNodes_3"/>
          <dgm:constr type="l" for="ch" forName="FiveNodes_3_text" refType="l" refFor="ch" refForName="FiveNodes_3"/>
          <dgm:constr type="r" for="ch" forName="FiveNodes_4_text" refType="l" refFor="ch" refForName="FiveConn_3-4"/>
          <dgm:constr type="t" for="ch" forName="FiveNodes_4_text" refType="t" refFor="ch" refForName="FiveNodes_4"/>
          <dgm:constr type="b" for="ch" forName="FiveNodes_4_text" refType="b" refFor="ch" refForName="FiveNodes_4"/>
          <dgm:constr type="l" for="ch" forName="FiveNodes_4_text" refType="l" refFor="ch" refForName="FiveNodes_4"/>
          <dgm:constr type="r" for="ch" forName="FiveNodes_5_text" refType="l" refFor="ch" refForName="FiveConn_4-5"/>
          <dgm:constr type="t" for="ch" forName="FiveNodes_5_text" refType="t" refFor="ch" refForName="FiveNodes_5"/>
          <dgm:constr type="b" for="ch" forName="FiveNodes_5_text" refType="b" refFor="ch" refForName="FiveNodes_5"/>
          <dgm:constr type="l" for="ch" forName="FiveNodes_5_text" refType="l" refFor="ch" refForName="FiveNodes_5"/>
        </dgm:constrLst>
      </dgm:if>
      <dgm:else name="Name2">
        <dgm:constrLst>
          <dgm:constr type="primFontSz" for="ch" ptType="node" op="equ" val="65"/>
          <dgm:constr type="w" for="ch" forName="dummyMaxCanvas" refType="w"/>
          <dgm:constr type="h" for="ch" forName="dummyMaxCanvas" refType="h"/>
          <dgm:constr type="w" for="ch" forName="OneNode_1" refType="w"/>
          <dgm:constr type="h" for="ch" forName="OneNode_1" refType="h" fact="0.5"/>
          <dgm:constr type="ctrY" for="ch" forName="OneNode_1" refType="h" fact="0.5"/>
          <dgm:constr type="w" for="ch" forName="TwoNodes_1" refType="w" fact="0.85"/>
          <dgm:constr type="h" for="ch" forName="TwoNodes_1" refType="h" fact="0.45"/>
          <dgm:constr type="t" for="ch" forName="TwoNodes_1"/>
          <dgm:constr type="r" for="ch" forName="TwoNodes_1" refType="w"/>
          <dgm:constr type="w" for="ch" forName="TwoNodes_2" refType="w" fact="0.85"/>
          <dgm:constr type="h" for="ch" forName="TwoNodes_2" refType="h" fact="0.45"/>
          <dgm:constr type="b" for="ch" forName="TwoNodes_2" refType="h"/>
          <dgm:constr type="l" for="ch" forName="TwoNodes_2"/>
          <dgm:constr type="w" for="ch" forName="TwoConn_1-2" refType="h" refFor="ch" refForName="TwoNodes_1" fact="0.65"/>
          <dgm:constr type="h" for="ch" forName="TwoConn_1-2" refType="h" refFor="ch" refForName="TwoNodes_1" fact="0.65"/>
          <dgm:constr type="ctrY" for="ch" forName="TwoConn_1-2" refType="h" fact="0.5"/>
          <dgm:constr type="l" for="ch" forName="TwoConn_1-2" refType="l" refFor="ch" refForName="TwoNodes_1"/>
          <dgm:constr type="l" for="ch" forName="TwoNodes_1_text" refType="r" refFor="ch" refForName="TwoConn_1-2"/>
          <dgm:constr type="lOff" for="ch" forName="TwoNodes_1_text" refType="w" refFor="ch" refForName="TwoConn_1-2" fact="0.5"/>
          <dgm:constr type="t" for="ch" forName="TwoNodes_1_text" refType="t" refFor="ch" refForName="TwoNodes_1"/>
          <dgm:constr type="b" for="ch" forName="TwoNodes_1_text" refType="b" refFor="ch" refForName="TwoNodes_1"/>
          <dgm:constr type="r" for="ch" forName="TwoNodes_1_text" refType="r" refFor="ch" refForName="TwoNodes_1"/>
          <dgm:constr type="l" for="ch" forName="TwoNodes_2_text" refType="r" refFor="ch" refForName="TwoConn_1-2"/>
          <dgm:constr type="t" for="ch" forName="TwoNodes_2_text" refType="t" refFor="ch" refForName="TwoNodes_2"/>
          <dgm:constr type="b" for="ch" forName="TwoNodes_2_text" refType="b" refFor="ch" refForName="TwoNodes_2"/>
          <dgm:constr type="r" for="ch" forName="TwoNodes_2_text" refType="r" refFor="ch" refForName="TwoNodes_2"/>
          <dgm:constr type="w" for="ch" forName="ThreeNodes_1" refType="w" fact="0.85"/>
          <dgm:constr type="h" for="ch" forName="ThreeNodes_1" refType="h" fact="0.3"/>
          <dgm:constr type="t" for="ch" forName="ThreeNodes_1"/>
          <dgm:constr type="r" for="ch" forName="ThreeNodes_1" refType="w"/>
          <dgm:constr type="w" for="ch" forName="ThreeNodes_2" refType="w" fact="0.85"/>
          <dgm:constr type="h" for="ch" forName="ThreeNodes_2" refType="h" fact="0.3"/>
          <dgm:constr type="ctrY" for="ch" forName="ThreeNodes_2" refType="h" fact="0.5"/>
          <dgm:constr type="ctrX" for="ch" forName="ThreeNodes_2" refType="w" fact="0.5"/>
          <dgm:constr type="w" for="ch" forName="ThreeNodes_3" refType="w" fact="0.85"/>
          <dgm:constr type="h" for="ch" forName="ThreeNodes_3" refType="h" fact="0.3"/>
          <dgm:constr type="b" for="ch" forName="ThreeNodes_3" refType="h"/>
          <dgm:constr type="l" for="ch" forName="ThreeNodes_3"/>
          <dgm:constr type="w" for="ch" forName="ThreeConn_1-2" refType="h" refFor="ch" refForName="ThreeNodes_1" fact="0.65"/>
          <dgm:constr type="h" for="ch" forName="ThreeConn_1-2" refType="h" refFor="ch" refForName="ThreeNodes_1" fact="0.65"/>
          <dgm:constr type="ctrY" for="ch" forName="ThreeConn_1-2" refType="h" fact="0.325"/>
          <dgm:constr type="l" for="ch" forName="ThreeConn_1-2" refType="l" refFor="ch" refForName="ThreeNodes_1"/>
          <dgm:constr type="w" for="ch" forName="ThreeConn_2-3" refType="h" refFor="ch" refForName="ThreeNodes_2" fact="0.65"/>
          <dgm:constr type="h" for="ch" forName="ThreeConn_2-3" refType="h" refFor="ch" refForName="ThreeNodes_2" fact="0.65"/>
          <dgm:constr type="ctrY" for="ch" forName="ThreeConn_2-3" refType="h" fact="0.673"/>
          <dgm:constr type="l" for="ch" forName="ThreeConn_2-3" refType="l" refFor="ch" refForName="ThreeNodes_2"/>
          <dgm:constr type="l" for="ch" forName="ThreeNodes_1_text" refType="r" refFor="ch" refForName="ThreeConn_1-2"/>
          <dgm:constr type="lOff" for="ch" forName="ThreeNodes_1_text" refType="w" refFor="ch" refForName="ThreeConn_1-2" fact="0.55"/>
          <dgm:constr type="t" for="ch" forName="ThreeNodes_1_text" refType="t" refFor="ch" refForName="ThreeNodes_1"/>
          <dgm:constr type="b" for="ch" forName="ThreeNodes_1_text" refType="b" refFor="ch" refForName="ThreeNodes_1"/>
          <dgm:constr type="r" for="ch" forName="ThreeNodes_1_text" refType="r" refFor="ch" refForName="ThreeNodes_1"/>
          <dgm:constr type="l" for="ch" forName="ThreeNodes_2_text" refType="r" refFor="ch" refForName="ThreeConn_1-2"/>
          <dgm:constr type="t" for="ch" forName="ThreeNodes_2_text" refType="t" refFor="ch" refForName="ThreeNodes_2"/>
          <dgm:constr type="b" for="ch" forName="ThreeNodes_2_text" refType="b" refFor="ch" refForName="ThreeNodes_2"/>
          <dgm:constr type="r" for="ch" forName="ThreeNodes_2_text" refType="r" refFor="ch" refForName="ThreeNodes_2"/>
          <dgm:constr type="l" for="ch" forName="ThreeNodes_3_text" refType="r" refFor="ch" refForName="ThreeConn_2-3"/>
          <dgm:constr type="t" for="ch" forName="ThreeNodes_3_text" refType="t" refFor="ch" refForName="ThreeNodes_3"/>
          <dgm:constr type="b" for="ch" forName="ThreeNodes_3_text" refType="b" refFor="ch" refForName="ThreeNodes_3"/>
          <dgm:constr type="r" for="ch" forName="ThreeNodes_3_text" refType="r" refFor="ch" refForName="ThreeNodes_3"/>
          <dgm:constr type="w" for="ch" forName="FourNodes_1" refType="w" fact="0.8"/>
          <dgm:constr type="h" for="ch" forName="FourNodes_1" refType="h" fact="0.22"/>
          <dgm:constr type="t" for="ch" forName="FourNodes_1"/>
          <dgm:constr type="r" for="ch" forName="FourNodes_1" refType="w"/>
          <dgm:constr type="w" for="ch" forName="FourNodes_2" refType="w" fact="0.8"/>
          <dgm:constr type="h" for="ch" forName="FourNodes_2" refType="h" fact="0.22"/>
          <dgm:constr type="ctrY" for="ch" forName="FourNodes_2" refType="h" fact="0.37"/>
          <dgm:constr type="ctrX" for="ch" forName="FourNodes_2" refType="w" fact="0.533"/>
          <dgm:constr type="w" for="ch" forName="FourNodes_3" refType="w" fact="0.8"/>
          <dgm:constr type="h" for="ch" forName="FourNodes_3" refType="h" fact="0.22"/>
          <dgm:constr type="ctrY" for="ch" forName="FourNodes_3" refType="h" fact="0.63"/>
          <dgm:constr type="ctrX" for="ch" forName="FourNodes_3" refType="w" fact="0.467"/>
          <dgm:constr type="w" for="ch" forName="FourNodes_4" refType="w" fact="0.8"/>
          <dgm:constr type="h" for="ch" forName="FourNodes_4" refType="h" fact="0.22"/>
          <dgm:constr type="b" for="ch" forName="FourNodes_4" refType="h"/>
          <dgm:constr type="l" for="ch" forName="FourNodes_4"/>
          <dgm:constr type="w" for="ch" forName="FourConn_1-2" refType="h" refFor="ch" refForName="FourNodes_1" fact="0.65"/>
          <dgm:constr type="h" for="ch" forName="FourConn_1-2" refType="h" refFor="ch" refForName="FourNodes_1" fact="0.65"/>
          <dgm:constr type="ctrY" for="ch" forName="FourConn_1-2" refType="h" fact="0.24"/>
          <dgm:constr type="l" for="ch" forName="FourConn_1-2" refType="l" refFor="ch" refForName="FourNodes_1"/>
          <dgm:constr type="w" for="ch" forName="FourConn_2-3" refType="h" refFor="ch" refForName="FourNodes_2" fact="0.65"/>
          <dgm:constr type="h" for="ch" forName="FourConn_2-3" refType="h" refFor="ch" refForName="FourNodes_2" fact="0.65"/>
          <dgm:constr type="ctrY" for="ch" forName="FourConn_2-3" refType="h" fact="0.5"/>
          <dgm:constr type="l" for="ch" forName="FourConn_2-3" refType="l" refFor="ch" refForName="FourNodes_2"/>
          <dgm:constr type="w" for="ch" forName="FourConn_3-4" refType="h" refFor="ch" refForName="FourNodes_3" fact="0.65"/>
          <dgm:constr type="h" for="ch" forName="FourConn_3-4" refType="h" refFor="ch" refForName="FourNodes_3" fact="0.65"/>
          <dgm:constr type="ctrY" for="ch" forName="FourConn_3-4" refType="h" fact="0.76"/>
          <dgm:constr type="l" for="ch" forName="FourConn_3-4" refType="l" refFor="ch" refForName="FourNodes_3"/>
          <dgm:constr type="l" for="ch" forName="FourNodes_1_text" refType="r" refFor="ch" refForName="FourConn_1-2"/>
          <dgm:constr type="lOff" for="ch" forName="FourNodes_1_text" refType="w" refFor="ch" refForName="FourConn_1-2" fact="0.69"/>
          <dgm:constr type="t" for="ch" forName="FourNodes_1_text" refType="t" refFor="ch" refForName="FourNodes_1"/>
          <dgm:constr type="b" for="ch" forName="FourNodes_1_text" refType="b" refFor="ch" refForName="FourNodes_1"/>
          <dgm:constr type="r" for="ch" forName="FourNodes_1_text" refType="r" refFor="ch" refForName="FourNodes_1"/>
          <dgm:constr type="l" for="ch" forName="FourNodes_2_text" refType="r" refFor="ch" refForName="FourConn_1-2"/>
          <dgm:constr type="t" for="ch" forName="FourNodes_2_text" refType="t" refFor="ch" refForName="FourNodes_2"/>
          <dgm:constr type="b" for="ch" forName="FourNodes_2_text" refType="b" refFor="ch" refForName="FourNodes_2"/>
          <dgm:constr type="r" for="ch" forName="FourNodes_2_text" refType="r" refFor="ch" refForName="FourNodes_2"/>
          <dgm:constr type="l" for="ch" forName="FourNodes_3_text" refType="r" refFor="ch" refForName="FourConn_2-3"/>
          <dgm:constr type="t" for="ch" forName="FourNodes_3_text" refType="t" refFor="ch" refForName="FourNodes_3"/>
          <dgm:constr type="b" for="ch" forName="FourNodes_3_text" refType="b" refFor="ch" refForName="FourNodes_3"/>
          <dgm:constr type="r" for="ch" forName="FourNodes_3_text" refType="r" refFor="ch" refForName="FourNodes_3"/>
          <dgm:constr type="l" for="ch" forName="FourNodes_4_text" refType="r" refFor="ch" refForName="FourConn_3-4"/>
          <dgm:constr type="t" for="ch" forName="FourNodes_4_text" refType="t" refFor="ch" refForName="FourNodes_4"/>
          <dgm:constr type="b" for="ch" forName="FourNodes_4_text" refType="b" refFor="ch" refForName="FourNodes_4"/>
          <dgm:constr type="r" for="ch" forName="FourNodes_4_text" refType="r" refFor="ch" refForName="FourNodes_4"/>
          <dgm:constr type="w" for="ch" forName="FiveNodes_1" refType="w" fact="0.77"/>
          <dgm:constr type="h" for="ch" forName="FiveNodes_1" refType="h" fact="0.18"/>
          <dgm:constr type="t" for="ch" forName="FiveNodes_1"/>
          <dgm:constr type="r" for="ch" forName="FiveNodes_1" refType="w"/>
          <dgm:constr type="w" for="ch" forName="FiveNodes_2" refType="w" fact="0.77"/>
          <dgm:constr type="h" for="ch" forName="FiveNodes_2" refType="h" fact="0.18"/>
          <dgm:constr type="ctrY" for="ch" forName="FiveNodes_2" refType="h" fact="0.295"/>
          <dgm:constr type="ctrX" for="ch" forName="FiveNodes_2" refType="w" fact="0.5575"/>
          <dgm:constr type="w" for="ch" forName="FiveNodes_3" refType="w" fact="0.77"/>
          <dgm:constr type="h" for="ch" forName="FiveNodes_3" refType="h" fact="0.18"/>
          <dgm:constr type="ctrY" for="ch" forName="FiveNodes_3" refType="h" fact="0.5"/>
          <dgm:constr type="ctrX" for="ch" forName="FiveNodes_3" refType="w" fact="0.5"/>
          <dgm:constr type="w" for="ch" forName="FiveNodes_4" refType="w" fact="0.77"/>
          <dgm:constr type="h" for="ch" forName="FiveNodes_4" refType="h" fact="0.18"/>
          <dgm:constr type="ctrY" for="ch" forName="FiveNodes_4" refType="h" fact="0.705"/>
          <dgm:constr type="ctrX" for="ch" forName="FiveNodes_4" refType="w" fact="0.4425"/>
          <dgm:constr type="w" for="ch" forName="FiveNodes_5" refType="w" fact="0.77"/>
          <dgm:constr type="h" for="ch" forName="FiveNodes_5" refType="h" fact="0.18"/>
          <dgm:constr type="b" for="ch" forName="FiveNodes_5" refType="h"/>
          <dgm:constr type="l" for="ch" forName="FiveNodes_5"/>
          <dgm:constr type="w" for="ch" forName="FiveConn_1-2" refType="h" refFor="ch" refForName="FiveNodes_1" fact="0.65"/>
          <dgm:constr type="h" for="ch" forName="FiveConn_1-2" refType="h" refFor="ch" refForName="FiveNodes_1" fact="0.65"/>
          <dgm:constr type="ctrY" for="ch" forName="FiveConn_1-2" refType="h" fact="0.19"/>
          <dgm:constr type="l" for="ch" forName="FiveConn_1-2" refType="l" refFor="ch" refForName="FiveNodes_1"/>
          <dgm:constr type="w" for="ch" forName="FiveConn_2-3" refType="h" refFor="ch" refForName="FiveNodes_2" fact="0.65"/>
          <dgm:constr type="h" for="ch" forName="FiveConn_2-3" refType="h" refFor="ch" refForName="FiveNodes_2" fact="0.65"/>
          <dgm:constr type="ctrY" for="ch" forName="FiveConn_2-3" refType="h" fact="0.395"/>
          <dgm:constr type="l" for="ch" forName="FiveConn_2-3" refType="l" refFor="ch" refForName="FiveNodes_2"/>
          <dgm:constr type="w" for="ch" forName="FiveConn_3-4" refType="h" refFor="ch" refForName="FiveNodes_3" fact="0.65"/>
          <dgm:constr type="h" for="ch" forName="FiveConn_3-4" refType="h" refFor="ch" refForName="FiveNodes_3" fact="0.65"/>
          <dgm:constr type="ctrY" for="ch" forName="FiveConn_3-4" refType="h" fact="0.597"/>
          <dgm:constr type="l" for="ch" forName="FiveConn_3-4" refType="l" refFor="ch" refForName="FiveNodes_3"/>
          <dgm:constr type="w" for="ch" forName="FiveConn_4-5" refType="h" refFor="ch" refForName="FiveNodes_4" fact="0.65"/>
          <dgm:constr type="h" for="ch" forName="FiveConn_4-5" refType="h" refFor="ch" refForName="FiveNodes_4" fact="0.65"/>
          <dgm:constr type="ctrY" for="ch" forName="FiveConn_4-5" refType="h" fact="0.804"/>
          <dgm:constr type="l" for="ch" forName="FiveConn_4-5" refType="l" refFor="ch" refForName="FiveNodes_4"/>
          <dgm:constr type="l" for="ch" forName="FiveNodes_1_text" refType="r" refFor="ch" refForName="FiveConn_1-2"/>
          <dgm:constr type="lOff" for="ch" forName="FiveNodes_1_text" refType="w" refFor="ch" refForName="FiveConn_1-2" fact="0.73"/>
          <dgm:constr type="t" for="ch" forName="FiveNodes_1_text" refType="t" refFor="ch" refForName="FiveNodes_1"/>
          <dgm:constr type="b" for="ch" forName="FiveNodes_1_text" refType="b" refFor="ch" refForName="FiveNodes_1"/>
          <dgm:constr type="r" for="ch" forName="FiveNodes_1_text" refType="r" refFor="ch" refForName="FiveNodes_1"/>
          <dgm:constr type="l" for="ch" forName="FiveNodes_2_text" refType="r" refFor="ch" refForName="FiveConn_1-2"/>
          <dgm:constr type="t" for="ch" forName="FiveNodes_2_text" refType="t" refFor="ch" refForName="FiveNodes_2"/>
          <dgm:constr type="b" for="ch" forName="FiveNodes_2_text" refType="b" refFor="ch" refForName="FiveNodes_2"/>
          <dgm:constr type="r" for="ch" forName="FiveNodes_2_text" refType="r" refFor="ch" refForName="FiveNodes_2"/>
          <dgm:constr type="l" for="ch" forName="FiveNodes_3_text" refType="r" refFor="ch" refForName="FiveConn_2-3"/>
          <dgm:constr type="t" for="ch" forName="FiveNodes_3_text" refType="t" refFor="ch" refForName="FiveNodes_3"/>
          <dgm:constr type="b" for="ch" forName="FiveNodes_3_text" refType="b" refFor="ch" refForName="FiveNodes_3"/>
          <dgm:constr type="r" for="ch" forName="FiveNodes_3_text" refType="r" refFor="ch" refForName="FiveNodes_3"/>
          <dgm:constr type="l" for="ch" forName="FiveNodes_4_text" refType="r" refFor="ch" refForName="FiveConn_3-4"/>
          <dgm:constr type="t" for="ch" forName="FiveNodes_4_text" refType="t" refFor="ch" refForName="FiveNodes_4"/>
          <dgm:constr type="b" for="ch" forName="FiveNodes_4_text" refType="b" refFor="ch" refForName="FiveNodes_4"/>
          <dgm:constr type="r" for="ch" forName="FiveNodes_4_text" refType="r" refFor="ch" refForName="FiveNodes_4"/>
          <dgm:constr type="l" for="ch" forName="FiveNodes_5_text" refType="r" refFor="ch" refForName="FiveConn_4-5"/>
          <dgm:constr type="t" for="ch" forName="FiveNodes_5_text" refType="t" refFor="ch" refForName="FiveNodes_5"/>
          <dgm:constr type="b" for="ch" forName="FiveNodes_5_text" refType="b" refFor="ch" refForName="FiveNodes_5"/>
          <dgm:constr type="r" for="ch" forName="FiveNodes_5_text" refType="r" refFor="ch" refForName="FiveNodes_5"/>
        </dgm:constrLst>
      </dgm:else>
    </dgm:choose>
    <dgm:ruleLst/>
    <dgm:layoutNode name="dummyMaxCanvas">
      <dgm:varLst/>
      <dgm:alg type="sp"/>
      <dgm:shape xmlns:r="http://schemas.openxmlformats.org/officeDocument/2006/relationships" r:blip="">
        <dgm:adjLst/>
      </dgm:shape>
      <dgm:presOf/>
      <dgm:constrLst/>
      <dgm:ruleLst/>
    </dgm:layoutNode>
    <dgm:choose name="Name3">
      <dgm:if name="Name4" axis="ch" ptType="node" func="cnt" op="equ" val="1">
        <dgm:layoutNode name="OneNode_1">
          <dgm:varLst>
            <dgm:bulletEnabled val="1"/>
          </dgm:varLst>
          <dgm:alg type="tx"/>
          <dgm:shape xmlns:r="http://schemas.openxmlformats.org/officeDocument/2006/relationships" type="roundRect" r:blip="">
            <dgm:adjLst>
              <dgm:adj idx="1" val="0.1"/>
            </dgm:adjLst>
          </dgm:shape>
          <dgm:presOf axis="ch desOrSelf" ptType="node node" st="1 1" cnt="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if>
      <dgm:else name="Name5">
        <dgm:choose name="Name6">
          <dgm:if name="Name7" axis="ch" ptType="node" func="cnt" op="equ" val="2">
            <dgm:layoutNode name="TwoNodes_1">
              <dgm:varLst>
                <dgm:bulletEnabled val="1"/>
              </dgm:varLst>
              <dgm:alg type="sp"/>
              <dgm:shape xmlns:r="http://schemas.openxmlformats.org/officeDocument/2006/relationships" type="roundRect" r:blip="">
                <dgm:adjLst>
                  <dgm:adj idx="1" val="0.1"/>
                </dgm:adjLst>
              </dgm:shape>
              <dgm:presOf axis="ch desOrSelf" ptType="node node" st="1 1" cnt="1 0"/>
              <dgm:constrLst/>
              <dgm:ruleLst/>
            </dgm:layoutNode>
            <dgm:layoutNode name="TwoNodes_2">
              <dgm:varLst>
                <dgm:bulletEnabled val="1"/>
              </dgm:varLst>
              <dgm:alg type="sp"/>
              <dgm:shape xmlns:r="http://schemas.openxmlformats.org/officeDocument/2006/relationships" type="roundRect" r:blip="">
                <dgm:adjLst>
                  <dgm:adj idx="1" val="0.1"/>
                </dgm:adjLst>
              </dgm:shape>
              <dgm:presOf axis="ch desOrSelf" ptType="node node" st="2 1" cnt="1 0"/>
              <dgm:constrLst/>
              <dgm:ruleLst/>
            </dgm:layoutNode>
            <dgm:layoutNode name="TwoConn_1-2" styleLbl="fgAccFollowNode1">
              <dgm:varLst>
                <dgm:bulletEnabled val="1"/>
              </dgm:varLst>
              <dgm:alg type="tx"/>
              <dgm:shape xmlns:r="http://schemas.openxmlformats.org/officeDocument/2006/relationships" type="downArrow" r:blip="">
                <dgm:adjLst>
                  <dgm:adj idx="1" val="0.55"/>
                  <dgm:adj idx="2" val="0.45"/>
                </dgm:adjLst>
              </dgm:shape>
              <dgm:presOf axis="ch" ptType="sibTrans" cnt="1"/>
              <dgm:constrLst>
                <dgm:constr type="lMarg" refType="primFontSz" fact="0.1"/>
                <dgm:constr type="rMarg" refType="primFontSz" fact="0.1"/>
                <dgm:constr type="tMarg" refType="primFontSz" fact="0.1"/>
                <dgm:constr type="bMarg" refType="primFontSz" fact="0.1"/>
              </dgm:constrLst>
              <dgm:ruleLst>
                <dgm:rule type="primFontSz" val="5" fact="NaN" max="NaN"/>
              </dgm:ruleLst>
            </dgm:layoutNode>
            <dgm:layoutNode name="TwoNodes_1_text">
              <dgm:varLst>
                <dgm:bulletEnabled val="1"/>
              </dgm:varLst>
              <dgm:alg type="tx">
                <dgm:param type="parTxLTRAlign" val="l"/>
                <dgm:param type="txAnchorVertCh" val="mid"/>
              </dgm:alg>
              <dgm:shape xmlns:r="http://schemas.openxmlformats.org/officeDocument/2006/relationships" type="roundRect" r:blip="" hideGeom="1">
                <dgm:adjLst>
                  <dgm:adj idx="1" val="0.1"/>
                </dgm:adjLst>
              </dgm:shape>
              <dgm:presOf axis="ch desOrSelf" ptType="node node" st="1 1" cnt="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TwoNodes_2_text">
              <dgm:varLst>
                <dgm:bulletEnabled val="1"/>
              </dgm:varLst>
              <dgm:alg type="tx">
                <dgm:param type="parTxLTRAlign" val="l"/>
                <dgm:param type="txAnchorVertCh" val="mid"/>
              </dgm:alg>
              <dgm:shape xmlns:r="http://schemas.openxmlformats.org/officeDocument/2006/relationships" type="roundRect" r:blip="" hideGeom="1">
                <dgm:adjLst>
                  <dgm:adj idx="1" val="0.1"/>
                </dgm:adjLst>
              </dgm:shape>
              <dgm:presOf axis="ch desOrSelf" ptType="node node" st="2 1" cnt="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if>
          <dgm:else name="Name8">
            <dgm:choose name="Name9">
              <dgm:if name="Name10" axis="ch" ptType="node" func="cnt" op="equ" val="3">
                <dgm:layoutNode name="ThreeNodes_1">
                  <dgm:varLst>
                    <dgm:bulletEnabled val="1"/>
                  </dgm:varLst>
                  <dgm:alg type="sp"/>
                  <dgm:shape xmlns:r="http://schemas.openxmlformats.org/officeDocument/2006/relationships" type="roundRect" r:blip="">
                    <dgm:adjLst>
                      <dgm:adj idx="1" val="0.1"/>
                    </dgm:adjLst>
                  </dgm:shape>
                  <dgm:presOf axis="ch desOrSelf" ptType="node node" st="1 1" cnt="1 0"/>
                  <dgm:constrLst/>
                  <dgm:ruleLst/>
                </dgm:layoutNode>
                <dgm:layoutNode name="ThreeNodes_2">
                  <dgm:varLst>
                    <dgm:bulletEnabled val="1"/>
                  </dgm:varLst>
                  <dgm:alg type="sp"/>
                  <dgm:shape xmlns:r="http://schemas.openxmlformats.org/officeDocument/2006/relationships" type="roundRect" r:blip="">
                    <dgm:adjLst>
                      <dgm:adj idx="1" val="0.1"/>
                    </dgm:adjLst>
                  </dgm:shape>
                  <dgm:presOf axis="ch desOrSelf" ptType="node node" st="2 1" cnt="1 0"/>
                  <dgm:constrLst/>
                  <dgm:ruleLst/>
                </dgm:layoutNode>
                <dgm:layoutNode name="ThreeNodes_3">
                  <dgm:varLst>
                    <dgm:bulletEnabled val="1"/>
                  </dgm:varLst>
                  <dgm:alg type="sp"/>
                  <dgm:shape xmlns:r="http://schemas.openxmlformats.org/officeDocument/2006/relationships" type="roundRect" r:blip="">
                    <dgm:adjLst>
                      <dgm:adj idx="1" val="0.1"/>
                    </dgm:adjLst>
                  </dgm:shape>
                  <dgm:presOf axis="ch desOrSelf" ptType="node node" st="3 1" cnt="1 0"/>
                  <dgm:constrLst/>
                  <dgm:ruleLst/>
                </dgm:layoutNode>
                <dgm:layoutNode name="ThreeConn_1-2" styleLbl="fgAccFollowNode1">
                  <dgm:varLst>
                    <dgm:bulletEnabled val="1"/>
                  </dgm:varLst>
                  <dgm:alg type="tx"/>
                  <dgm:shape xmlns:r="http://schemas.openxmlformats.org/officeDocument/2006/relationships" type="downArrow" r:blip="">
                    <dgm:adjLst>
                      <dgm:adj idx="1" val="0.55"/>
                      <dgm:adj idx="2" val="0.45"/>
                    </dgm:adjLst>
                  </dgm:shape>
                  <dgm:presOf axis="ch" ptType="sibTrans" cnt="1"/>
                  <dgm:constrLst>
                    <dgm:constr type="lMarg" refType="primFontSz" fact="0.1"/>
                    <dgm:constr type="rMarg" refType="primFontSz" fact="0.1"/>
                    <dgm:constr type="tMarg" refType="primFontSz" fact="0.1"/>
                    <dgm:constr type="bMarg" refType="primFontSz" fact="0.1"/>
                  </dgm:constrLst>
                  <dgm:ruleLst>
                    <dgm:rule type="primFontSz" val="5" fact="NaN" max="NaN"/>
                  </dgm:ruleLst>
                </dgm:layoutNode>
                <dgm:layoutNode name="ThreeConn_2-3" styleLbl="fgAccFollowNode1">
                  <dgm:varLst>
                    <dgm:bulletEnabled val="1"/>
                  </dgm:varLst>
                  <dgm:alg type="tx"/>
                  <dgm:shape xmlns:r="http://schemas.openxmlformats.org/officeDocument/2006/relationships" type="downArrow" r:blip="">
                    <dgm:adjLst>
                      <dgm:adj idx="1" val="0.55"/>
                      <dgm:adj idx="2" val="0.45"/>
                    </dgm:adjLst>
                  </dgm:shape>
                  <dgm:presOf axis="ch" ptType="sibTrans" st="2" cnt="1"/>
                  <dgm:constrLst>
                    <dgm:constr type="lMarg" refType="primFontSz" fact="0.1"/>
                    <dgm:constr type="rMarg" refType="primFontSz" fact="0.1"/>
                    <dgm:constr type="tMarg" refType="primFontSz" fact="0.1"/>
                    <dgm:constr type="bMarg" refType="primFontSz" fact="0.1"/>
                  </dgm:constrLst>
                  <dgm:ruleLst>
                    <dgm:rule type="primFontSz" val="5" fact="NaN" max="NaN"/>
                  </dgm:ruleLst>
                </dgm:layoutNode>
                <dgm:layoutNode name="ThreeNodes_1_text">
                  <dgm:varLst>
                    <dgm:bulletEnabled val="1"/>
                  </dgm:varLst>
                  <dgm:alg type="tx">
                    <dgm:param type="parTxLTRAlign" val="l"/>
                    <dgm:param type="txAnchorVertCh" val="mid"/>
                  </dgm:alg>
                  <dgm:shape xmlns:r="http://schemas.openxmlformats.org/officeDocument/2006/relationships" type="roundRect" r:blip="" hideGeom="1">
                    <dgm:adjLst>
                      <dgm:adj idx="1" val="0.1"/>
                    </dgm:adjLst>
                  </dgm:shape>
                  <dgm:presOf axis="ch desOrSelf" ptType="node node" st="1 1" cnt="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ThreeNodes_2_text">
                  <dgm:varLst>
                    <dgm:bulletEnabled val="1"/>
                  </dgm:varLst>
                  <dgm:alg type="tx">
                    <dgm:param type="parTxLTRAlign" val="l"/>
                    <dgm:param type="txAnchorVertCh" val="mid"/>
                  </dgm:alg>
                  <dgm:shape xmlns:r="http://schemas.openxmlformats.org/officeDocument/2006/relationships" type="roundRect" r:blip="" hideGeom="1">
                    <dgm:adjLst>
                      <dgm:adj idx="1" val="0.1"/>
                    </dgm:adjLst>
                  </dgm:shape>
                  <dgm:presOf axis="ch desOrSelf" ptType="node node" st="2 1" cnt="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ThreeNodes_3_text">
                  <dgm:varLst>
                    <dgm:bulletEnabled val="1"/>
                  </dgm:varLst>
                  <dgm:alg type="tx">
                    <dgm:param type="parTxLTRAlign" val="l"/>
                    <dgm:param type="txAnchorVertCh" val="mid"/>
                  </dgm:alg>
                  <dgm:shape xmlns:r="http://schemas.openxmlformats.org/officeDocument/2006/relationships" type="roundRect" r:blip="" hideGeom="1">
                    <dgm:adjLst>
                      <dgm:adj idx="1" val="0.1"/>
                    </dgm:adjLst>
                  </dgm:shape>
                  <dgm:presOf axis="ch desOrSelf" ptType="node node" st="3 1" cnt="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if>
              <dgm:else name="Name11">
                <dgm:choose name="Name12">
                  <dgm:if name="Name13" axis="ch" ptType="node" func="cnt" op="equ" val="4">
                    <dgm:layoutNode name="FourNodes_1">
                      <dgm:varLst>
                        <dgm:bulletEnabled val="1"/>
                      </dgm:varLst>
                      <dgm:alg type="sp"/>
                      <dgm:shape xmlns:r="http://schemas.openxmlformats.org/officeDocument/2006/relationships" type="roundRect" r:blip="">
                        <dgm:adjLst>
                          <dgm:adj idx="1" val="0.1"/>
                        </dgm:adjLst>
                      </dgm:shape>
                      <dgm:presOf axis="ch desOrSelf" ptType="node node" st="1 1" cnt="1 0"/>
                      <dgm:constrLst/>
                      <dgm:ruleLst/>
                    </dgm:layoutNode>
                    <dgm:layoutNode name="FourNodes_2">
                      <dgm:varLst>
                        <dgm:bulletEnabled val="1"/>
                      </dgm:varLst>
                      <dgm:alg type="sp"/>
                      <dgm:shape xmlns:r="http://schemas.openxmlformats.org/officeDocument/2006/relationships" type="roundRect" r:blip="">
                        <dgm:adjLst>
                          <dgm:adj idx="1" val="0.1"/>
                        </dgm:adjLst>
                      </dgm:shape>
                      <dgm:presOf axis="ch desOrSelf" ptType="node node" st="2 1" cnt="1 0"/>
                      <dgm:constrLst/>
                      <dgm:ruleLst/>
                    </dgm:layoutNode>
                    <dgm:layoutNode name="FourNodes_3">
                      <dgm:varLst>
                        <dgm:bulletEnabled val="1"/>
                      </dgm:varLst>
                      <dgm:alg type="sp"/>
                      <dgm:shape xmlns:r="http://schemas.openxmlformats.org/officeDocument/2006/relationships" type="roundRect" r:blip="">
                        <dgm:adjLst>
                          <dgm:adj idx="1" val="0.1"/>
                        </dgm:adjLst>
                      </dgm:shape>
                      <dgm:presOf axis="ch desOrSelf" ptType="node node" st="3 1" cnt="1 0"/>
                      <dgm:constrLst/>
                      <dgm:ruleLst/>
                    </dgm:layoutNode>
                    <dgm:layoutNode name="FourNodes_4">
                      <dgm:varLst>
                        <dgm:bulletEnabled val="1"/>
                      </dgm:varLst>
                      <dgm:alg type="sp"/>
                      <dgm:shape xmlns:r="http://schemas.openxmlformats.org/officeDocument/2006/relationships" type="roundRect" r:blip="">
                        <dgm:adjLst>
                          <dgm:adj idx="1" val="0.1"/>
                        </dgm:adjLst>
                      </dgm:shape>
                      <dgm:presOf axis="ch desOrSelf" ptType="node node" st="4 1" cnt="1 0"/>
                      <dgm:constrLst/>
                      <dgm:ruleLst/>
                    </dgm:layoutNode>
                    <dgm:layoutNode name="FourConn_1-2" styleLbl="fgAccFollowNode1">
                      <dgm:varLst>
                        <dgm:bulletEnabled val="1"/>
                      </dgm:varLst>
                      <dgm:alg type="tx"/>
                      <dgm:shape xmlns:r="http://schemas.openxmlformats.org/officeDocument/2006/relationships" type="downArrow" r:blip="">
                        <dgm:adjLst>
                          <dgm:adj idx="1" val="0.55"/>
                          <dgm:adj idx="2" val="0.45"/>
                        </dgm:adjLst>
                      </dgm:shape>
                      <dgm:presOf axis="ch" ptType="sibTrans" cnt="1"/>
                      <dgm:constrLst>
                        <dgm:constr type="lMarg" refType="primFontSz" fact="0.1"/>
                        <dgm:constr type="rMarg" refType="primFontSz" fact="0.1"/>
                        <dgm:constr type="tMarg" refType="primFontSz" fact="0.1"/>
                        <dgm:constr type="bMarg" refType="primFontSz" fact="0.1"/>
                      </dgm:constrLst>
                      <dgm:ruleLst>
                        <dgm:rule type="primFontSz" val="5" fact="NaN" max="NaN"/>
                      </dgm:ruleLst>
                    </dgm:layoutNode>
                    <dgm:layoutNode name="FourConn_2-3" styleLbl="fgAccFollowNode1">
                      <dgm:varLst>
                        <dgm:bulletEnabled val="1"/>
                      </dgm:varLst>
                      <dgm:alg type="tx"/>
                      <dgm:shape xmlns:r="http://schemas.openxmlformats.org/officeDocument/2006/relationships" type="downArrow" r:blip="">
                        <dgm:adjLst>
                          <dgm:adj idx="1" val="0.55"/>
                          <dgm:adj idx="2" val="0.45"/>
                        </dgm:adjLst>
                      </dgm:shape>
                      <dgm:presOf axis="ch" ptType="sibTrans" st="2" cnt="1"/>
                      <dgm:constrLst>
                        <dgm:constr type="lMarg" refType="primFontSz" fact="0.1"/>
                        <dgm:constr type="rMarg" refType="primFontSz" fact="0.1"/>
                        <dgm:constr type="tMarg" refType="primFontSz" fact="0.1"/>
                        <dgm:constr type="bMarg" refType="primFontSz" fact="0.1"/>
                      </dgm:constrLst>
                      <dgm:ruleLst>
                        <dgm:rule type="primFontSz" val="5" fact="NaN" max="NaN"/>
                      </dgm:ruleLst>
                    </dgm:layoutNode>
                    <dgm:layoutNode name="FourConn_3-4" styleLbl="fgAccFollowNode1">
                      <dgm:varLst>
                        <dgm:bulletEnabled val="1"/>
                      </dgm:varLst>
                      <dgm:alg type="tx"/>
                      <dgm:shape xmlns:r="http://schemas.openxmlformats.org/officeDocument/2006/relationships" type="downArrow" r:blip="">
                        <dgm:adjLst>
                          <dgm:adj idx="1" val="0.55"/>
                          <dgm:adj idx="2" val="0.45"/>
                        </dgm:adjLst>
                      </dgm:shape>
                      <dgm:presOf axis="ch" ptType="sibTrans" st="3" cnt="1"/>
                      <dgm:constrLst>
                        <dgm:constr type="lMarg" refType="primFontSz" fact="0.1"/>
                        <dgm:constr type="rMarg" refType="primFontSz" fact="0.1"/>
                        <dgm:constr type="tMarg" refType="primFontSz" fact="0.1"/>
                        <dgm:constr type="bMarg" refType="primFontSz" fact="0.1"/>
                      </dgm:constrLst>
                      <dgm:ruleLst>
                        <dgm:rule type="primFontSz" val="5" fact="NaN" max="NaN"/>
                      </dgm:ruleLst>
                    </dgm:layoutNode>
                    <dgm:layoutNode name="FourNodes_1_text">
                      <dgm:varLst>
                        <dgm:bulletEnabled val="1"/>
                      </dgm:varLst>
                      <dgm:alg type="tx">
                        <dgm:param type="parTxLTRAlign" val="l"/>
                        <dgm:param type="txAnchorVertCh" val="mid"/>
                      </dgm:alg>
                      <dgm:shape xmlns:r="http://schemas.openxmlformats.org/officeDocument/2006/relationships" type="roundRect" r:blip="" hideGeom="1">
                        <dgm:adjLst>
                          <dgm:adj idx="1" val="0.1"/>
                        </dgm:adjLst>
                      </dgm:shape>
                      <dgm:presOf axis="ch desOrSelf" ptType="node node" st="1 1" cnt="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FourNodes_2_text">
                      <dgm:varLst>
                        <dgm:bulletEnabled val="1"/>
                      </dgm:varLst>
                      <dgm:alg type="tx">
                        <dgm:param type="parTxLTRAlign" val="l"/>
                        <dgm:param type="txAnchorVertCh" val="mid"/>
                      </dgm:alg>
                      <dgm:shape xmlns:r="http://schemas.openxmlformats.org/officeDocument/2006/relationships" type="roundRect" r:blip="" hideGeom="1">
                        <dgm:adjLst>
                          <dgm:adj idx="1" val="0.1"/>
                        </dgm:adjLst>
                      </dgm:shape>
                      <dgm:presOf axis="ch desOrSelf" ptType="node node" st="2 1" cnt="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FourNodes_3_text">
                      <dgm:varLst>
                        <dgm:bulletEnabled val="1"/>
                      </dgm:varLst>
                      <dgm:alg type="tx">
                        <dgm:param type="parTxLTRAlign" val="l"/>
                        <dgm:param type="txAnchorVertCh" val="mid"/>
                      </dgm:alg>
                      <dgm:shape xmlns:r="http://schemas.openxmlformats.org/officeDocument/2006/relationships" type="roundRect" r:blip="" hideGeom="1">
                        <dgm:adjLst>
                          <dgm:adj idx="1" val="0.1"/>
                        </dgm:adjLst>
                      </dgm:shape>
                      <dgm:presOf axis="ch desOrSelf" ptType="node node" st="3 1" cnt="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FourNodes_4_text">
                      <dgm:varLst>
                        <dgm:bulletEnabled val="1"/>
                      </dgm:varLst>
                      <dgm:alg type="tx">
                        <dgm:param type="parTxLTRAlign" val="l"/>
                        <dgm:param type="txAnchorVertCh" val="mid"/>
                      </dgm:alg>
                      <dgm:shape xmlns:r="http://schemas.openxmlformats.org/officeDocument/2006/relationships" type="roundRect" r:blip="" hideGeom="1">
                        <dgm:adjLst>
                          <dgm:adj idx="1" val="0.1"/>
                        </dgm:adjLst>
                      </dgm:shape>
                      <dgm:presOf axis="ch desOrSelf" ptType="node node" st="4 1" cnt="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if>
                  <dgm:else name="Name14">
                    <dgm:choose name="Name15">
                      <dgm:if name="Name16" axis="ch" ptType="node" func="cnt" op="gte" val="5">
                        <dgm:layoutNode name="FiveNodes_1">
                          <dgm:varLst>
                            <dgm:bulletEnabled val="1"/>
                          </dgm:varLst>
                          <dgm:alg type="sp"/>
                          <dgm:shape xmlns:r="http://schemas.openxmlformats.org/officeDocument/2006/relationships" type="roundRect" r:blip="">
                            <dgm:adjLst>
                              <dgm:adj idx="1" val="0.1"/>
                            </dgm:adjLst>
                          </dgm:shape>
                          <dgm:presOf axis="ch desOrSelf" ptType="node node" st="1 1" cnt="1 0"/>
                          <dgm:constrLst/>
                          <dgm:ruleLst/>
                        </dgm:layoutNode>
                        <dgm:layoutNode name="FiveNodes_2">
                          <dgm:varLst>
                            <dgm:bulletEnabled val="1"/>
                          </dgm:varLst>
                          <dgm:alg type="sp"/>
                          <dgm:shape xmlns:r="http://schemas.openxmlformats.org/officeDocument/2006/relationships" type="roundRect" r:blip="">
                            <dgm:adjLst>
                              <dgm:adj idx="1" val="0.1"/>
                            </dgm:adjLst>
                          </dgm:shape>
                          <dgm:presOf axis="ch desOrSelf" ptType="node node" st="2 1" cnt="1 0"/>
                          <dgm:constrLst/>
                          <dgm:ruleLst/>
                        </dgm:layoutNode>
                        <dgm:layoutNode name="FiveNodes_3">
                          <dgm:varLst>
                            <dgm:bulletEnabled val="1"/>
                          </dgm:varLst>
                          <dgm:alg type="sp"/>
                          <dgm:shape xmlns:r="http://schemas.openxmlformats.org/officeDocument/2006/relationships" type="roundRect" r:blip="">
                            <dgm:adjLst>
                              <dgm:adj idx="1" val="0.1"/>
                            </dgm:adjLst>
                          </dgm:shape>
                          <dgm:presOf axis="ch desOrSelf" ptType="node node" st="3 1" cnt="1 0"/>
                          <dgm:constrLst/>
                          <dgm:ruleLst/>
                        </dgm:layoutNode>
                        <dgm:layoutNode name="FiveNodes_4">
                          <dgm:varLst>
                            <dgm:bulletEnabled val="1"/>
                          </dgm:varLst>
                          <dgm:alg type="sp"/>
                          <dgm:shape xmlns:r="http://schemas.openxmlformats.org/officeDocument/2006/relationships" type="roundRect" r:blip="">
                            <dgm:adjLst>
                              <dgm:adj idx="1" val="0.1"/>
                            </dgm:adjLst>
                          </dgm:shape>
                          <dgm:presOf axis="ch desOrSelf" ptType="node node" st="4 1" cnt="1 0"/>
                          <dgm:constrLst/>
                          <dgm:ruleLst/>
                        </dgm:layoutNode>
                        <dgm:layoutNode name="FiveNodes_5">
                          <dgm:varLst>
                            <dgm:bulletEnabled val="1"/>
                          </dgm:varLst>
                          <dgm:alg type="sp"/>
                          <dgm:shape xmlns:r="http://schemas.openxmlformats.org/officeDocument/2006/relationships" type="roundRect" r:blip="">
                            <dgm:adjLst>
                              <dgm:adj idx="1" val="0.1"/>
                            </dgm:adjLst>
                          </dgm:shape>
                          <dgm:presOf axis="ch desOrSelf" ptType="node node" st="5 1" cnt="1 0"/>
                          <dgm:constrLst/>
                          <dgm:ruleLst/>
                        </dgm:layoutNode>
                        <dgm:layoutNode name="FiveConn_1-2" styleLbl="fgAccFollowNode1">
                          <dgm:varLst>
                            <dgm:bulletEnabled val="1"/>
                          </dgm:varLst>
                          <dgm:alg type="tx"/>
                          <dgm:shape xmlns:r="http://schemas.openxmlformats.org/officeDocument/2006/relationships" type="downArrow" r:blip="">
                            <dgm:adjLst>
                              <dgm:adj idx="1" val="0.55"/>
                              <dgm:adj idx="2" val="0.45"/>
                            </dgm:adjLst>
                          </dgm:shape>
                          <dgm:presOf axis="ch" ptType="sibTrans" cnt="1"/>
                          <dgm:constrLst>
                            <dgm:constr type="lMarg" refType="primFontSz" fact="0.1"/>
                            <dgm:constr type="rMarg" refType="primFontSz" fact="0.1"/>
                            <dgm:constr type="tMarg" refType="primFontSz" fact="0.1"/>
                            <dgm:constr type="bMarg" refType="primFontSz" fact="0.1"/>
                          </dgm:constrLst>
                          <dgm:ruleLst>
                            <dgm:rule type="primFontSz" val="5" fact="NaN" max="NaN"/>
                          </dgm:ruleLst>
                        </dgm:layoutNode>
                        <dgm:layoutNode name="FiveConn_2-3" styleLbl="fgAccFollowNode1">
                          <dgm:varLst>
                            <dgm:bulletEnabled val="1"/>
                          </dgm:varLst>
                          <dgm:alg type="tx"/>
                          <dgm:shape xmlns:r="http://schemas.openxmlformats.org/officeDocument/2006/relationships" type="downArrow" r:blip="">
                            <dgm:adjLst>
                              <dgm:adj idx="1" val="0.55"/>
                              <dgm:adj idx="2" val="0.45"/>
                            </dgm:adjLst>
                          </dgm:shape>
                          <dgm:presOf axis="ch" ptType="sibTrans" st="2" cnt="1"/>
                          <dgm:constrLst>
                            <dgm:constr type="lMarg" refType="primFontSz" fact="0.1"/>
                            <dgm:constr type="rMarg" refType="primFontSz" fact="0.1"/>
                            <dgm:constr type="tMarg" refType="primFontSz" fact="0.1"/>
                            <dgm:constr type="bMarg" refType="primFontSz" fact="0.1"/>
                          </dgm:constrLst>
                          <dgm:ruleLst>
                            <dgm:rule type="primFontSz" val="5" fact="NaN" max="NaN"/>
                          </dgm:ruleLst>
                        </dgm:layoutNode>
                        <dgm:layoutNode name="FiveConn_3-4" styleLbl="fgAccFollowNode1">
                          <dgm:varLst>
                            <dgm:bulletEnabled val="1"/>
                          </dgm:varLst>
                          <dgm:alg type="tx"/>
                          <dgm:shape xmlns:r="http://schemas.openxmlformats.org/officeDocument/2006/relationships" type="downArrow" r:blip="">
                            <dgm:adjLst>
                              <dgm:adj idx="1" val="0.55"/>
                              <dgm:adj idx="2" val="0.45"/>
                            </dgm:adjLst>
                          </dgm:shape>
                          <dgm:presOf axis="ch" ptType="sibTrans" st="3" cnt="1"/>
                          <dgm:constrLst>
                            <dgm:constr type="lMarg" refType="primFontSz" fact="0.1"/>
                            <dgm:constr type="rMarg" refType="primFontSz" fact="0.1"/>
                            <dgm:constr type="tMarg" refType="primFontSz" fact="0.1"/>
                            <dgm:constr type="bMarg" refType="primFontSz" fact="0.1"/>
                          </dgm:constrLst>
                          <dgm:ruleLst>
                            <dgm:rule type="primFontSz" val="5" fact="NaN" max="NaN"/>
                          </dgm:ruleLst>
                        </dgm:layoutNode>
                        <dgm:layoutNode name="FiveConn_4-5" styleLbl="fgAccFollowNode1">
                          <dgm:varLst>
                            <dgm:bulletEnabled val="1"/>
                          </dgm:varLst>
                          <dgm:alg type="tx"/>
                          <dgm:shape xmlns:r="http://schemas.openxmlformats.org/officeDocument/2006/relationships" type="downArrow" r:blip="">
                            <dgm:adjLst>
                              <dgm:adj idx="1" val="0.55"/>
                              <dgm:adj idx="2" val="0.45"/>
                            </dgm:adjLst>
                          </dgm:shape>
                          <dgm:presOf axis="ch" ptType="sibTrans" st="4" cnt="1"/>
                          <dgm:constrLst>
                            <dgm:constr type="lMarg" refType="primFontSz" fact="0.1"/>
                            <dgm:constr type="rMarg" refType="primFontSz" fact="0.1"/>
                            <dgm:constr type="tMarg" refType="primFontSz" fact="0.1"/>
                            <dgm:constr type="bMarg" refType="primFontSz" fact="0.1"/>
                          </dgm:constrLst>
                          <dgm:ruleLst>
                            <dgm:rule type="primFontSz" val="5" fact="NaN" max="NaN"/>
                          </dgm:ruleLst>
                        </dgm:layoutNode>
                        <dgm:layoutNode name="FiveNodes_1_text">
                          <dgm:varLst>
                            <dgm:bulletEnabled val="1"/>
                          </dgm:varLst>
                          <dgm:alg type="tx">
                            <dgm:param type="parTxLTRAlign" val="l"/>
                            <dgm:param type="txAnchorVertCh" val="mid"/>
                          </dgm:alg>
                          <dgm:shape xmlns:r="http://schemas.openxmlformats.org/officeDocument/2006/relationships" type="roundRect" r:blip="" hideGeom="1">
                            <dgm:adjLst>
                              <dgm:adj idx="1" val="0.1"/>
                            </dgm:adjLst>
                          </dgm:shape>
                          <dgm:presOf axis="ch desOrSelf" ptType="node node" st="1 1" cnt="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FiveNodes_2_text">
                          <dgm:varLst>
                            <dgm:bulletEnabled val="1"/>
                          </dgm:varLst>
                          <dgm:alg type="tx">
                            <dgm:param type="parTxLTRAlign" val="l"/>
                            <dgm:param type="txAnchorVertCh" val="mid"/>
                          </dgm:alg>
                          <dgm:shape xmlns:r="http://schemas.openxmlformats.org/officeDocument/2006/relationships" type="roundRect" r:blip="" hideGeom="1">
                            <dgm:adjLst>
                              <dgm:adj idx="1" val="0.1"/>
                            </dgm:adjLst>
                          </dgm:shape>
                          <dgm:presOf axis="ch desOrSelf" ptType="node node" st="2 1" cnt="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FiveNodes_3_text">
                          <dgm:varLst>
                            <dgm:bulletEnabled val="1"/>
                          </dgm:varLst>
                          <dgm:alg type="tx">
                            <dgm:param type="parTxLTRAlign" val="l"/>
                            <dgm:param type="txAnchorVertCh" val="mid"/>
                          </dgm:alg>
                          <dgm:shape xmlns:r="http://schemas.openxmlformats.org/officeDocument/2006/relationships" type="roundRect" r:blip="" hideGeom="1">
                            <dgm:adjLst>
                              <dgm:adj idx="1" val="0.1"/>
                            </dgm:adjLst>
                          </dgm:shape>
                          <dgm:presOf axis="ch desOrSelf" ptType="node node" st="3 1" cnt="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FiveNodes_4_text">
                          <dgm:varLst>
                            <dgm:bulletEnabled val="1"/>
                          </dgm:varLst>
                          <dgm:alg type="tx">
                            <dgm:param type="parTxLTRAlign" val="l"/>
                            <dgm:param type="txAnchorVertCh" val="mid"/>
                          </dgm:alg>
                          <dgm:shape xmlns:r="http://schemas.openxmlformats.org/officeDocument/2006/relationships" type="roundRect" r:blip="" hideGeom="1">
                            <dgm:adjLst>
                              <dgm:adj idx="1" val="0.1"/>
                            </dgm:adjLst>
                          </dgm:shape>
                          <dgm:presOf axis="ch desOrSelf" ptType="node node" st="4 1" cnt="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FiveNodes_5_text">
                          <dgm:varLst>
                            <dgm:bulletEnabled val="1"/>
                          </dgm:varLst>
                          <dgm:alg type="tx">
                            <dgm:param type="parTxLTRAlign" val="l"/>
                            <dgm:param type="txAnchorVertCh" val="mid"/>
                          </dgm:alg>
                          <dgm:shape xmlns:r="http://schemas.openxmlformats.org/officeDocument/2006/relationships" type="roundRect" r:blip="" hideGeom="1">
                            <dgm:adjLst>
                              <dgm:adj idx="1" val="0.1"/>
                            </dgm:adjLst>
                          </dgm:shape>
                          <dgm:presOf axis="ch desOrSelf" ptType="node node" st="5 1" cnt="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if>
                      <dgm:else name="Name17"/>
                    </dgm:choose>
                  </dgm:else>
                </dgm:choose>
              </dgm:else>
            </dgm:choose>
          </dgm:else>
        </dgm:choose>
      </dgm:else>
    </dgm:choose>
  </dgm:layoutNode>
</dgm:layoutDef>
</file>

<file path=word/diagrams/quickStyle1.xml><?xml version="1.0" encoding="utf-8"?>
<dgm:styleDef xmlns:dgm="http://schemas.openxmlformats.org/drawingml/2006/diagram" xmlns:a="http://schemas.openxmlformats.org/drawingml/2006/main" uniqueId="urn:microsoft.com/office/officeart/2005/8/quickstyle/simple1#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E92D54-A051-4BCE-BF4B-EA45A04E69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21</Pages>
  <Words>7420</Words>
  <Characters>40812</Characters>
  <Application>Microsoft Office Word</Application>
  <DocSecurity>0</DocSecurity>
  <Lines>340</Lines>
  <Paragraphs>96</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New ECC Report Style</vt:lpstr>
      <vt:lpstr>New ECC Report Style</vt:lpstr>
    </vt:vector>
  </TitlesOfParts>
  <Company>ECO</Company>
  <LinksUpToDate>false</LinksUpToDate>
  <CharactersWithSpaces>48136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 ECC Report Style</dc:title>
  <dc:creator>Bente Pedersen</dc:creator>
  <cp:lastModifiedBy>DESCHAMPS Benoist</cp:lastModifiedBy>
  <cp:revision>2</cp:revision>
  <cp:lastPrinted>2011-10-10T13:43:00Z</cp:lastPrinted>
  <dcterms:created xsi:type="dcterms:W3CDTF">2012-03-15T21:09:00Z</dcterms:created>
  <dcterms:modified xsi:type="dcterms:W3CDTF">2012-03-15T21:09:00Z</dcterms:modified>
</cp:coreProperties>
</file>